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tabs>
          <w:tab w:val="left" w:pos="6300"/>
        </w:tabs>
        <w:snapToGrid w:val="0"/>
        <w:spacing w:line="300" w:lineRule="auto"/>
        <w:rPr>
          <w:rFonts w:ascii="宋体" w:cs="宋体"/>
          <w:color w:val="auto"/>
          <w:w w:val="80"/>
          <w:sz w:val="24"/>
          <w:szCs w:val="24"/>
          <w:highlight w:val="none"/>
        </w:rPr>
      </w:pPr>
    </w:p>
    <w:p>
      <w:pPr>
        <w:tabs>
          <w:tab w:val="left" w:pos="6300"/>
        </w:tabs>
        <w:snapToGrid w:val="0"/>
        <w:spacing w:line="300" w:lineRule="auto"/>
        <w:jc w:val="center"/>
        <w:rPr>
          <w:rFonts w:ascii="宋体" w:cs="宋体"/>
          <w:b/>
          <w:color w:val="auto"/>
          <w:w w:val="80"/>
          <w:sz w:val="24"/>
          <w:szCs w:val="24"/>
          <w:highlight w:val="none"/>
        </w:rPr>
      </w:pPr>
    </w:p>
    <w:p>
      <w:pPr>
        <w:tabs>
          <w:tab w:val="left" w:pos="6300"/>
        </w:tabs>
        <w:snapToGrid w:val="0"/>
        <w:spacing w:line="300" w:lineRule="auto"/>
        <w:jc w:val="center"/>
        <w:rPr>
          <w:b/>
          <w:color w:val="auto"/>
          <w:sz w:val="52"/>
          <w:szCs w:val="52"/>
          <w:highlight w:val="none"/>
          <w:lang w:val="zh-CN"/>
        </w:rPr>
      </w:pPr>
    </w:p>
    <w:p>
      <w:pPr>
        <w:tabs>
          <w:tab w:val="left" w:pos="6300"/>
        </w:tabs>
        <w:snapToGrid w:val="0"/>
        <w:spacing w:line="300" w:lineRule="auto"/>
        <w:jc w:val="center"/>
        <w:rPr>
          <w:b/>
          <w:color w:val="auto"/>
          <w:sz w:val="52"/>
          <w:szCs w:val="52"/>
          <w:highlight w:val="none"/>
          <w:lang w:val="zh-CN"/>
        </w:rPr>
      </w:pPr>
      <w:r>
        <w:rPr>
          <w:rFonts w:hint="eastAsia"/>
          <w:b/>
          <w:color w:val="auto"/>
          <w:sz w:val="52"/>
          <w:szCs w:val="52"/>
          <w:highlight w:val="none"/>
          <w:lang w:val="zh-CN"/>
        </w:rPr>
        <w:t>南通市第三人民医院单病种数据上报项目</w:t>
      </w:r>
    </w:p>
    <w:p>
      <w:pPr>
        <w:tabs>
          <w:tab w:val="left" w:pos="6300"/>
        </w:tabs>
        <w:snapToGrid w:val="0"/>
        <w:spacing w:line="300" w:lineRule="auto"/>
        <w:jc w:val="center"/>
        <w:rPr>
          <w:rFonts w:ascii="宋体" w:cs="宋体"/>
          <w:b/>
          <w:color w:val="auto"/>
          <w:w w:val="80"/>
          <w:sz w:val="44"/>
          <w:szCs w:val="44"/>
          <w:highlight w:val="none"/>
        </w:rPr>
      </w:pPr>
    </w:p>
    <w:p>
      <w:pPr>
        <w:pStyle w:val="2"/>
        <w:ind w:firstLine="712"/>
        <w:rPr>
          <w:rFonts w:ascii="宋体" w:cs="宋体"/>
          <w:b/>
          <w:color w:val="auto"/>
          <w:w w:val="80"/>
          <w:sz w:val="44"/>
          <w:szCs w:val="44"/>
          <w:highlight w:val="none"/>
        </w:rPr>
      </w:pPr>
    </w:p>
    <w:p>
      <w:pPr>
        <w:tabs>
          <w:tab w:val="left" w:pos="6300"/>
        </w:tabs>
        <w:snapToGrid w:val="0"/>
        <w:spacing w:line="300" w:lineRule="auto"/>
        <w:jc w:val="center"/>
        <w:rPr>
          <w:rFonts w:ascii="宋体" w:cs="宋体"/>
          <w:b/>
          <w:color w:val="auto"/>
          <w:w w:val="80"/>
          <w:sz w:val="96"/>
          <w:szCs w:val="96"/>
          <w:highlight w:val="none"/>
        </w:rPr>
      </w:pPr>
      <w:r>
        <w:rPr>
          <w:rFonts w:hint="eastAsia" w:ascii="宋体" w:hAnsi="宋体" w:cs="宋体"/>
          <w:b/>
          <w:color w:val="auto"/>
          <w:w w:val="80"/>
          <w:sz w:val="84"/>
          <w:szCs w:val="84"/>
          <w:highlight w:val="none"/>
        </w:rPr>
        <w:t>竞争性磋商文件</w:t>
      </w:r>
    </w:p>
    <w:p>
      <w:pPr>
        <w:jc w:val="center"/>
        <w:rPr>
          <w:rFonts w:ascii="宋体" w:cs="宋体"/>
          <w:b/>
          <w:color w:val="auto"/>
          <w:sz w:val="24"/>
          <w:szCs w:val="24"/>
          <w:highlight w:val="none"/>
        </w:rPr>
      </w:pPr>
    </w:p>
    <w:p>
      <w:pPr>
        <w:snapToGrid w:val="0"/>
        <w:spacing w:line="640" w:lineRule="exact"/>
        <w:rPr>
          <w:rFonts w:ascii="宋体"/>
          <w:b/>
          <w:bCs/>
          <w:color w:val="auto"/>
          <w:sz w:val="24"/>
          <w:szCs w:val="24"/>
          <w:highlight w:val="none"/>
        </w:rPr>
      </w:pPr>
    </w:p>
    <w:p>
      <w:pPr>
        <w:snapToGrid w:val="0"/>
        <w:spacing w:line="640" w:lineRule="exact"/>
        <w:jc w:val="center"/>
        <w:rPr>
          <w:rFonts w:ascii="宋体" w:cs="宋体"/>
          <w:b/>
          <w:color w:val="auto"/>
          <w:sz w:val="24"/>
          <w:szCs w:val="24"/>
          <w:highlight w:val="none"/>
        </w:rPr>
      </w:pPr>
    </w:p>
    <w:p>
      <w:pPr>
        <w:pStyle w:val="2"/>
        <w:ind w:firstLine="482"/>
        <w:rPr>
          <w:rFonts w:ascii="宋体" w:cs="宋体"/>
          <w:b/>
          <w:color w:val="auto"/>
          <w:szCs w:val="24"/>
          <w:highlight w:val="none"/>
        </w:rPr>
      </w:pPr>
    </w:p>
    <w:p>
      <w:pPr>
        <w:pStyle w:val="2"/>
        <w:ind w:firstLine="482"/>
        <w:rPr>
          <w:rFonts w:ascii="宋体" w:cs="宋体"/>
          <w:b/>
          <w:color w:val="auto"/>
          <w:szCs w:val="24"/>
          <w:highlight w:val="none"/>
        </w:rPr>
      </w:pPr>
    </w:p>
    <w:p>
      <w:pPr>
        <w:snapToGrid w:val="0"/>
        <w:spacing w:line="360" w:lineRule="auto"/>
        <w:rPr>
          <w:rFonts w:ascii="宋体" w:cs="宋体"/>
          <w:b/>
          <w:color w:val="auto"/>
          <w:sz w:val="24"/>
          <w:szCs w:val="24"/>
          <w:highlight w:val="none"/>
        </w:rPr>
      </w:pPr>
    </w:p>
    <w:p>
      <w:pPr>
        <w:adjustRightInd w:val="0"/>
        <w:snapToGrid w:val="0"/>
        <w:spacing w:line="360" w:lineRule="auto"/>
        <w:jc w:val="center"/>
        <w:rPr>
          <w:rFonts w:ascii="宋体" w:cs="宋体"/>
          <w:b/>
          <w:color w:val="auto"/>
          <w:sz w:val="30"/>
          <w:szCs w:val="30"/>
          <w:highlight w:val="none"/>
        </w:rPr>
      </w:pPr>
    </w:p>
    <w:p>
      <w:pPr>
        <w:adjustRightInd w:val="0"/>
        <w:snapToGrid w:val="0"/>
        <w:spacing w:line="360" w:lineRule="auto"/>
        <w:jc w:val="left"/>
        <w:rPr>
          <w:rFonts w:ascii="宋体" w:cs="宋体"/>
          <w:b/>
          <w:color w:val="auto"/>
          <w:sz w:val="30"/>
          <w:szCs w:val="30"/>
          <w:highlight w:val="none"/>
        </w:rPr>
      </w:pPr>
      <w:bookmarkStart w:id="0" w:name="_Toc94585339"/>
      <w:bookmarkStart w:id="1" w:name="_Toc94544743"/>
      <w:bookmarkStart w:id="2" w:name="_Toc521203417"/>
      <w:bookmarkStart w:id="3" w:name="_Toc94544827"/>
      <w:bookmarkStart w:id="4" w:name="_Toc11500279"/>
      <w:bookmarkStart w:id="5" w:name="_Toc8895738"/>
      <w:bookmarkStart w:id="6" w:name="_Toc12670502"/>
      <w:bookmarkStart w:id="7" w:name="_Toc11499583"/>
      <w:bookmarkStart w:id="8" w:name="_Toc521201596"/>
      <w:bookmarkStart w:id="9" w:name="_Toc11554638"/>
    </w:p>
    <w:p>
      <w:pPr>
        <w:adjustRightInd w:val="0"/>
        <w:snapToGrid w:val="0"/>
        <w:spacing w:line="360" w:lineRule="auto"/>
        <w:jc w:val="left"/>
        <w:rPr>
          <w:rFonts w:ascii="宋体" w:cs="宋体"/>
          <w:b/>
          <w:color w:val="auto"/>
          <w:sz w:val="30"/>
          <w:szCs w:val="30"/>
          <w:highlight w:val="none"/>
        </w:rPr>
      </w:pPr>
    </w:p>
    <w:p>
      <w:pPr>
        <w:adjustRightInd w:val="0"/>
        <w:snapToGrid w:val="0"/>
        <w:spacing w:line="360" w:lineRule="auto"/>
        <w:jc w:val="center"/>
        <w:rPr>
          <w:rFonts w:hint="eastAsia" w:ascii="宋体" w:eastAsia="宋体" w:cs="宋体"/>
          <w:b/>
          <w:color w:val="auto"/>
          <w:sz w:val="30"/>
          <w:szCs w:val="30"/>
          <w:highlight w:val="none"/>
          <w:lang w:eastAsia="zh-CN"/>
        </w:rPr>
      </w:pPr>
      <w:r>
        <w:rPr>
          <w:rFonts w:hint="eastAsia" w:ascii="宋体" w:hAnsi="宋体" w:cs="宋体"/>
          <w:b/>
          <w:color w:val="auto"/>
          <w:sz w:val="30"/>
          <w:szCs w:val="30"/>
          <w:highlight w:val="none"/>
        </w:rPr>
        <w:t>采购单位：</w:t>
      </w:r>
      <w:r>
        <w:rPr>
          <w:rFonts w:hint="eastAsia" w:ascii="宋体" w:hAnsi="宋体" w:cs="宋体"/>
          <w:b/>
          <w:color w:val="auto"/>
          <w:sz w:val="30"/>
          <w:szCs w:val="30"/>
          <w:highlight w:val="none"/>
          <w:lang w:eastAsia="zh-CN"/>
        </w:rPr>
        <w:t>南通市第三人民医院</w:t>
      </w:r>
    </w:p>
    <w:p>
      <w:pPr>
        <w:adjustRightInd w:val="0"/>
        <w:snapToGrid w:val="0"/>
        <w:spacing w:line="360" w:lineRule="auto"/>
        <w:jc w:val="center"/>
        <w:rPr>
          <w:rFonts w:ascii="宋体" w:cs="宋体"/>
          <w:b/>
          <w:color w:val="auto"/>
          <w:sz w:val="30"/>
          <w:szCs w:val="30"/>
          <w:highlight w:val="none"/>
        </w:rPr>
      </w:pPr>
      <w:r>
        <w:rPr>
          <w:rFonts w:hint="eastAsia" w:ascii="宋体" w:hAnsi="宋体" w:cs="宋体"/>
          <w:b/>
          <w:color w:val="auto"/>
          <w:sz w:val="30"/>
          <w:szCs w:val="30"/>
          <w:highlight w:val="none"/>
        </w:rPr>
        <w:t>代理机构：江苏正扬招标代理有限公司</w:t>
      </w:r>
    </w:p>
    <w:p>
      <w:pPr>
        <w:adjustRightInd w:val="0"/>
        <w:snapToGrid w:val="0"/>
        <w:spacing w:line="360" w:lineRule="auto"/>
        <w:jc w:val="center"/>
        <w:rPr>
          <w:rFonts w:ascii="宋体" w:cs="宋体"/>
          <w:b/>
          <w:color w:val="auto"/>
          <w:sz w:val="30"/>
          <w:szCs w:val="30"/>
          <w:highlight w:val="none"/>
        </w:rPr>
      </w:pPr>
      <w:r>
        <w:rPr>
          <w:rFonts w:hint="eastAsia" w:ascii="宋体" w:hAnsi="宋体" w:cs="宋体"/>
          <w:b/>
          <w:color w:val="auto"/>
          <w:sz w:val="30"/>
          <w:szCs w:val="30"/>
          <w:highlight w:val="none"/>
        </w:rPr>
        <w:t>二〇二一年</w:t>
      </w:r>
      <w:r>
        <w:rPr>
          <w:rFonts w:hint="eastAsia" w:ascii="宋体" w:hAnsi="宋体" w:cs="宋体"/>
          <w:b/>
          <w:color w:val="auto"/>
          <w:sz w:val="30"/>
          <w:szCs w:val="30"/>
          <w:highlight w:val="none"/>
          <w:lang w:val="en-US" w:eastAsia="zh-CN"/>
        </w:rPr>
        <w:t>十一</w:t>
      </w:r>
      <w:r>
        <w:rPr>
          <w:rFonts w:hint="eastAsia" w:ascii="宋体" w:hAnsi="宋体" w:cs="宋体"/>
          <w:b/>
          <w:color w:val="auto"/>
          <w:sz w:val="30"/>
          <w:szCs w:val="30"/>
          <w:highlight w:val="none"/>
        </w:rPr>
        <w:t>月</w:t>
      </w:r>
      <w:r>
        <w:rPr>
          <w:rFonts w:hint="eastAsia" w:ascii="宋体" w:hAnsi="宋体" w:cs="宋体"/>
          <w:b/>
          <w:color w:val="auto"/>
          <w:sz w:val="30"/>
          <w:szCs w:val="30"/>
          <w:highlight w:val="none"/>
          <w:lang w:val="en-US" w:eastAsia="zh-CN"/>
        </w:rPr>
        <w:t>三</w:t>
      </w:r>
      <w:r>
        <w:rPr>
          <w:rFonts w:hint="eastAsia" w:ascii="宋体" w:hAnsi="宋体" w:cs="宋体"/>
          <w:b/>
          <w:color w:val="auto"/>
          <w:sz w:val="30"/>
          <w:szCs w:val="30"/>
          <w:highlight w:val="none"/>
        </w:rPr>
        <w:t>日</w:t>
      </w:r>
    </w:p>
    <w:p>
      <w:pPr>
        <w:adjustRightInd w:val="0"/>
        <w:snapToGrid w:val="0"/>
        <w:spacing w:line="360" w:lineRule="auto"/>
        <w:jc w:val="center"/>
        <w:rPr>
          <w:rFonts w:ascii="宋体" w:cs="宋体"/>
          <w:b/>
          <w:color w:val="auto"/>
          <w:sz w:val="30"/>
          <w:szCs w:val="30"/>
          <w:highlight w:val="none"/>
        </w:rPr>
        <w:sectPr>
          <w:footerReference r:id="rId7" w:type="first"/>
          <w:headerReference r:id="rId3" w:type="default"/>
          <w:footerReference r:id="rId5" w:type="default"/>
          <w:headerReference r:id="rId4" w:type="even"/>
          <w:footerReference r:id="rId6" w:type="even"/>
          <w:type w:val="continuous"/>
          <w:pgSz w:w="11906" w:h="16838"/>
          <w:pgMar w:top="1247" w:right="1113" w:bottom="1134" w:left="1255" w:header="851" w:footer="992" w:gutter="0"/>
          <w:pgNumType w:fmt="numberInDash" w:start="1"/>
          <w:cols w:space="720" w:num="1"/>
          <w:titlePg/>
          <w:docGrid w:linePitch="380" w:charSpace="-5735"/>
        </w:sectPr>
      </w:pPr>
    </w:p>
    <w:p>
      <w:pPr>
        <w:jc w:val="center"/>
        <w:rPr>
          <w:rFonts w:ascii="宋体" w:cs="宋体"/>
          <w:b/>
          <w:color w:val="auto"/>
          <w:sz w:val="24"/>
          <w:szCs w:val="24"/>
          <w:highlight w:val="none"/>
        </w:rPr>
      </w:pPr>
    </w:p>
    <w:p>
      <w:pPr>
        <w:pStyle w:val="2"/>
        <w:ind w:firstLine="482"/>
        <w:rPr>
          <w:rFonts w:ascii="宋体" w:cs="宋体"/>
          <w:b/>
          <w:color w:val="auto"/>
          <w:szCs w:val="24"/>
          <w:highlight w:val="none"/>
        </w:rPr>
      </w:pPr>
    </w:p>
    <w:p>
      <w:pPr>
        <w:jc w:val="center"/>
        <w:rPr>
          <w:rFonts w:ascii="宋体" w:cs="宋体"/>
          <w:b/>
          <w:color w:val="auto"/>
          <w:sz w:val="44"/>
          <w:szCs w:val="44"/>
          <w:highlight w:val="none"/>
        </w:rPr>
      </w:pPr>
      <w:r>
        <w:rPr>
          <w:rFonts w:ascii="宋体" w:cs="宋体"/>
          <w:b/>
          <w:color w:val="auto"/>
          <w:sz w:val="44"/>
          <w:szCs w:val="44"/>
          <w:highlight w:val="none"/>
        </w:rPr>
        <w:br w:type="page"/>
      </w:r>
      <w:r>
        <w:rPr>
          <w:rFonts w:hint="eastAsia" w:ascii="宋体" w:hAnsi="宋体" w:cs="宋体"/>
          <w:b/>
          <w:color w:val="auto"/>
          <w:sz w:val="44"/>
          <w:szCs w:val="44"/>
          <w:highlight w:val="none"/>
        </w:rPr>
        <w:t>竞争性磋商文件备案表</w:t>
      </w:r>
    </w:p>
    <w:p>
      <w:pPr>
        <w:jc w:val="center"/>
        <w:rPr>
          <w:rFonts w:ascii="宋体" w:cs="宋体"/>
          <w:b/>
          <w:color w:val="auto"/>
          <w:sz w:val="24"/>
          <w:szCs w:val="24"/>
          <w:highlight w:val="none"/>
        </w:rPr>
      </w:pPr>
    </w:p>
    <w:tbl>
      <w:tblPr>
        <w:tblStyle w:val="5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1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51" w:hRule="atLeast"/>
          <w:jc w:val="center"/>
        </w:trPr>
        <w:tc>
          <w:tcPr>
            <w:tcW w:w="9180" w:type="dxa"/>
            <w:vAlign w:val="center"/>
          </w:tcPr>
          <w:p>
            <w:pPr>
              <w:spacing w:line="360" w:lineRule="auto"/>
              <w:jc w:val="center"/>
              <w:rPr>
                <w:rFonts w:ascii="宋体" w:cs="宋体"/>
                <w:color w:val="auto"/>
                <w:position w:val="-48"/>
                <w:sz w:val="24"/>
                <w:szCs w:val="24"/>
                <w:highlight w:val="none"/>
              </w:rPr>
            </w:pPr>
            <w:r>
              <w:rPr>
                <w:rFonts w:hint="eastAsia" w:ascii="宋体" w:hAnsi="宋体" w:cs="宋体"/>
                <w:color w:val="auto"/>
                <w:position w:val="-48"/>
                <w:sz w:val="24"/>
                <w:szCs w:val="24"/>
                <w:highlight w:val="none"/>
              </w:rPr>
              <w:t>编制人：李艳梅</w:t>
            </w:r>
          </w:p>
          <w:p>
            <w:pPr>
              <w:tabs>
                <w:tab w:val="left" w:pos="3492"/>
              </w:tabs>
              <w:spacing w:line="360" w:lineRule="auto"/>
              <w:jc w:val="center"/>
              <w:rPr>
                <w:rFonts w:ascii="宋体" w:cs="宋体"/>
                <w:color w:val="auto"/>
                <w:position w:val="-48"/>
                <w:sz w:val="24"/>
                <w:szCs w:val="24"/>
                <w:highlight w:val="none"/>
              </w:rPr>
            </w:pPr>
            <w:r>
              <w:rPr>
                <w:rFonts w:hint="eastAsia" w:ascii="宋体" w:hAnsi="宋体" w:cs="宋体"/>
                <w:color w:val="auto"/>
                <w:position w:val="-48"/>
                <w:sz w:val="24"/>
                <w:szCs w:val="24"/>
                <w:highlight w:val="none"/>
              </w:rPr>
              <w:t>日</w:t>
            </w:r>
            <w:r>
              <w:rPr>
                <w:rFonts w:ascii="宋体" w:hAnsi="宋体" w:cs="宋体"/>
                <w:color w:val="auto"/>
                <w:position w:val="-48"/>
                <w:sz w:val="24"/>
                <w:szCs w:val="24"/>
                <w:highlight w:val="none"/>
              </w:rPr>
              <w:t xml:space="preserve">  </w:t>
            </w:r>
            <w:r>
              <w:rPr>
                <w:rFonts w:hint="eastAsia" w:ascii="宋体" w:hAnsi="宋体" w:cs="宋体"/>
                <w:color w:val="auto"/>
                <w:position w:val="-48"/>
                <w:sz w:val="24"/>
                <w:szCs w:val="24"/>
                <w:highlight w:val="none"/>
              </w:rPr>
              <w:t>期：</w:t>
            </w:r>
            <w:r>
              <w:rPr>
                <w:rFonts w:ascii="宋体" w:hAnsi="宋体" w:cs="宋体"/>
                <w:color w:val="auto"/>
                <w:position w:val="-48"/>
                <w:sz w:val="24"/>
                <w:szCs w:val="24"/>
                <w:highlight w:val="none"/>
              </w:rPr>
              <w:t>2021</w:t>
            </w:r>
            <w:r>
              <w:rPr>
                <w:rFonts w:hint="eastAsia" w:ascii="宋体" w:hAnsi="宋体" w:cs="宋体"/>
                <w:color w:val="auto"/>
                <w:position w:val="-48"/>
                <w:sz w:val="24"/>
                <w:szCs w:val="24"/>
                <w:highlight w:val="none"/>
              </w:rPr>
              <w:t>年</w:t>
            </w:r>
            <w:r>
              <w:rPr>
                <w:rFonts w:hint="eastAsia" w:ascii="宋体" w:hAnsi="宋体" w:cs="宋体"/>
                <w:color w:val="auto"/>
                <w:position w:val="-48"/>
                <w:sz w:val="24"/>
                <w:szCs w:val="24"/>
                <w:highlight w:val="none"/>
                <w:lang w:val="en-US" w:eastAsia="zh-CN"/>
              </w:rPr>
              <w:t>11</w:t>
            </w:r>
            <w:r>
              <w:rPr>
                <w:rFonts w:hint="eastAsia" w:ascii="宋体" w:hAnsi="宋体" w:cs="宋体"/>
                <w:color w:val="auto"/>
                <w:position w:val="-48"/>
                <w:sz w:val="24"/>
                <w:szCs w:val="24"/>
                <w:highlight w:val="none"/>
              </w:rPr>
              <w:t>月</w:t>
            </w:r>
            <w:r>
              <w:rPr>
                <w:rFonts w:hint="eastAsia" w:ascii="宋体" w:hAnsi="宋体" w:cs="宋体"/>
                <w:color w:val="auto"/>
                <w:position w:val="-48"/>
                <w:sz w:val="24"/>
                <w:szCs w:val="24"/>
                <w:highlight w:val="none"/>
                <w:lang w:val="en-US" w:eastAsia="zh-CN"/>
              </w:rPr>
              <w:t>3</w:t>
            </w:r>
            <w:r>
              <w:rPr>
                <w:rFonts w:hint="eastAsia" w:ascii="宋体" w:hAnsi="宋体" w:cs="宋体"/>
                <w:color w:val="auto"/>
                <w:position w:val="-48"/>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87" w:hRule="atLeast"/>
          <w:jc w:val="center"/>
        </w:trPr>
        <w:tc>
          <w:tcPr>
            <w:tcW w:w="9180" w:type="dxa"/>
          </w:tcPr>
          <w:p>
            <w:pPr>
              <w:spacing w:line="360" w:lineRule="auto"/>
              <w:rPr>
                <w:rFonts w:ascii="宋体" w:cs="宋体"/>
                <w:color w:val="auto"/>
                <w:position w:val="-48"/>
                <w:sz w:val="24"/>
                <w:szCs w:val="24"/>
                <w:highlight w:val="none"/>
              </w:rPr>
            </w:pPr>
          </w:p>
          <w:p>
            <w:pPr>
              <w:spacing w:line="360" w:lineRule="auto"/>
              <w:ind w:firstLine="600" w:firstLineChars="250"/>
              <w:jc w:val="center"/>
              <w:rPr>
                <w:rFonts w:ascii="宋体" w:hAnsi="宋体" w:cs="宋体"/>
                <w:color w:val="auto"/>
                <w:position w:val="-48"/>
                <w:sz w:val="24"/>
                <w:szCs w:val="24"/>
                <w:highlight w:val="none"/>
              </w:rPr>
            </w:pPr>
          </w:p>
          <w:p>
            <w:pPr>
              <w:spacing w:line="360" w:lineRule="auto"/>
              <w:ind w:firstLine="600" w:firstLineChars="250"/>
              <w:jc w:val="center"/>
              <w:rPr>
                <w:rFonts w:ascii="宋体" w:cs="宋体"/>
                <w:color w:val="auto"/>
                <w:position w:val="-48"/>
                <w:sz w:val="24"/>
                <w:szCs w:val="24"/>
                <w:highlight w:val="none"/>
              </w:rPr>
            </w:pPr>
            <w:r>
              <w:rPr>
                <w:rFonts w:hint="eastAsia" w:ascii="宋体" w:hAnsi="宋体" w:cs="宋体"/>
                <w:color w:val="auto"/>
                <w:position w:val="-48"/>
                <w:sz w:val="24"/>
                <w:szCs w:val="24"/>
                <w:highlight w:val="none"/>
              </w:rPr>
              <w:t>采购单位（盖章）</w:t>
            </w:r>
            <w:r>
              <w:rPr>
                <w:rFonts w:ascii="宋体" w:hAnsi="宋体" w:cs="宋体"/>
                <w:color w:val="auto"/>
                <w:position w:val="-48"/>
                <w:sz w:val="24"/>
                <w:szCs w:val="24"/>
                <w:highlight w:val="none"/>
              </w:rPr>
              <w:t xml:space="preserve">             </w:t>
            </w:r>
          </w:p>
          <w:p>
            <w:pPr>
              <w:spacing w:line="360" w:lineRule="auto"/>
              <w:rPr>
                <w:rFonts w:ascii="宋体" w:cs="宋体"/>
                <w:color w:val="auto"/>
                <w:position w:val="-48"/>
                <w:sz w:val="24"/>
                <w:szCs w:val="24"/>
                <w:highlight w:val="none"/>
              </w:rPr>
            </w:pPr>
          </w:p>
          <w:p>
            <w:pPr>
              <w:spacing w:line="360" w:lineRule="auto"/>
              <w:jc w:val="center"/>
              <w:rPr>
                <w:rFonts w:ascii="宋体" w:cs="宋体"/>
                <w:color w:val="auto"/>
                <w:position w:val="-48"/>
                <w:sz w:val="24"/>
                <w:szCs w:val="24"/>
                <w:highlight w:val="none"/>
              </w:rPr>
            </w:pPr>
            <w:r>
              <w:rPr>
                <w:rFonts w:ascii="宋体" w:hAnsi="宋体" w:cs="宋体"/>
                <w:color w:val="auto"/>
                <w:position w:val="-48"/>
                <w:sz w:val="24"/>
                <w:szCs w:val="24"/>
                <w:highlight w:val="none"/>
              </w:rPr>
              <w:t xml:space="preserve">   </w:t>
            </w:r>
            <w:r>
              <w:rPr>
                <w:rFonts w:hint="eastAsia" w:ascii="宋体" w:hAnsi="宋体" w:cs="宋体"/>
                <w:color w:val="auto"/>
                <w:position w:val="-48"/>
                <w:sz w:val="24"/>
                <w:szCs w:val="24"/>
                <w:highlight w:val="none"/>
              </w:rPr>
              <w:t>代理机构（盖章）</w:t>
            </w:r>
            <w:r>
              <w:rPr>
                <w:rFonts w:ascii="宋体" w:hAnsi="宋体" w:cs="宋体"/>
                <w:color w:val="auto"/>
                <w:position w:val="-48"/>
                <w:sz w:val="24"/>
                <w:szCs w:val="24"/>
                <w:highlight w:val="none"/>
              </w:rPr>
              <w:t xml:space="preserve">            </w:t>
            </w:r>
          </w:p>
          <w:p>
            <w:pPr>
              <w:spacing w:line="360" w:lineRule="auto"/>
              <w:rPr>
                <w:rFonts w:ascii="宋体" w:cs="宋体"/>
                <w:color w:val="auto"/>
                <w:position w:val="-48"/>
                <w:sz w:val="24"/>
                <w:szCs w:val="24"/>
                <w:highlight w:val="none"/>
              </w:rPr>
            </w:pPr>
          </w:p>
          <w:p>
            <w:pPr>
              <w:spacing w:line="360" w:lineRule="auto"/>
              <w:jc w:val="center"/>
              <w:rPr>
                <w:rFonts w:ascii="宋体" w:cs="宋体"/>
                <w:color w:val="auto"/>
                <w:position w:val="-48"/>
                <w:sz w:val="24"/>
                <w:szCs w:val="24"/>
                <w:highlight w:val="none"/>
              </w:rPr>
            </w:pPr>
            <w:r>
              <w:rPr>
                <w:rFonts w:hint="eastAsia" w:ascii="宋体" w:hAnsi="宋体" w:cs="宋体"/>
                <w:color w:val="auto"/>
                <w:position w:val="-48"/>
                <w:sz w:val="24"/>
                <w:szCs w:val="24"/>
                <w:highlight w:val="none"/>
              </w:rPr>
              <w:t>日</w:t>
            </w:r>
            <w:r>
              <w:rPr>
                <w:rFonts w:ascii="宋体" w:hAnsi="宋体" w:cs="宋体"/>
                <w:color w:val="auto"/>
                <w:position w:val="-48"/>
                <w:sz w:val="24"/>
                <w:szCs w:val="24"/>
                <w:highlight w:val="none"/>
              </w:rPr>
              <w:t xml:space="preserve">  </w:t>
            </w:r>
            <w:r>
              <w:rPr>
                <w:rFonts w:hint="eastAsia" w:ascii="宋体" w:hAnsi="宋体" w:cs="宋体"/>
                <w:color w:val="auto"/>
                <w:position w:val="-48"/>
                <w:sz w:val="24"/>
                <w:szCs w:val="24"/>
                <w:highlight w:val="none"/>
              </w:rPr>
              <w:t>期：</w:t>
            </w:r>
            <w:r>
              <w:rPr>
                <w:rFonts w:ascii="宋体" w:hAnsi="宋体" w:cs="宋体"/>
                <w:color w:val="auto"/>
                <w:position w:val="-48"/>
                <w:sz w:val="24"/>
                <w:szCs w:val="24"/>
                <w:highlight w:val="none"/>
              </w:rPr>
              <w:t>2021</w:t>
            </w:r>
            <w:r>
              <w:rPr>
                <w:rFonts w:hint="eastAsia" w:ascii="宋体" w:hAnsi="宋体" w:cs="宋体"/>
                <w:color w:val="auto"/>
                <w:position w:val="-48"/>
                <w:sz w:val="24"/>
                <w:szCs w:val="24"/>
                <w:highlight w:val="none"/>
              </w:rPr>
              <w:t>年</w:t>
            </w:r>
            <w:r>
              <w:rPr>
                <w:rFonts w:hint="eastAsia" w:ascii="宋体" w:hAnsi="宋体" w:cs="宋体"/>
                <w:color w:val="auto"/>
                <w:position w:val="-48"/>
                <w:sz w:val="24"/>
                <w:szCs w:val="24"/>
                <w:highlight w:val="none"/>
                <w:lang w:val="en-US" w:eastAsia="zh-CN"/>
              </w:rPr>
              <w:t>11</w:t>
            </w:r>
            <w:r>
              <w:rPr>
                <w:rFonts w:hint="eastAsia" w:ascii="宋体" w:hAnsi="宋体" w:cs="宋体"/>
                <w:color w:val="auto"/>
                <w:position w:val="-48"/>
                <w:sz w:val="24"/>
                <w:szCs w:val="24"/>
                <w:highlight w:val="none"/>
              </w:rPr>
              <w:t>月</w:t>
            </w:r>
            <w:r>
              <w:rPr>
                <w:rFonts w:hint="eastAsia" w:ascii="宋体" w:hAnsi="宋体" w:cs="宋体"/>
                <w:color w:val="auto"/>
                <w:position w:val="-48"/>
                <w:sz w:val="24"/>
                <w:szCs w:val="24"/>
                <w:highlight w:val="none"/>
                <w:lang w:val="en-US" w:eastAsia="zh-CN"/>
              </w:rPr>
              <w:t>3</w:t>
            </w:r>
            <w:r>
              <w:rPr>
                <w:rFonts w:hint="eastAsia" w:ascii="宋体" w:hAnsi="宋体" w:cs="宋体"/>
                <w:color w:val="auto"/>
                <w:position w:val="-48"/>
                <w:sz w:val="24"/>
                <w:szCs w:val="24"/>
                <w:highlight w:val="none"/>
              </w:rPr>
              <w:t>日</w:t>
            </w:r>
          </w:p>
        </w:tc>
      </w:tr>
    </w:tbl>
    <w:p>
      <w:pPr>
        <w:adjustRightInd w:val="0"/>
        <w:snapToGrid w:val="0"/>
        <w:spacing w:line="360" w:lineRule="auto"/>
        <w:jc w:val="center"/>
        <w:rPr>
          <w:rFonts w:ascii="宋体" w:cs="宋体"/>
          <w:color w:val="auto"/>
          <w:w w:val="80"/>
          <w:sz w:val="24"/>
          <w:szCs w:val="24"/>
          <w:highlight w:val="none"/>
        </w:rPr>
      </w:pPr>
    </w:p>
    <w:p>
      <w:pPr>
        <w:pStyle w:val="25"/>
        <w:tabs>
          <w:tab w:val="left" w:pos="1050"/>
          <w:tab w:val="right" w:leader="dot" w:pos="9402"/>
        </w:tabs>
        <w:spacing w:line="960" w:lineRule="exact"/>
        <w:ind w:left="0"/>
        <w:jc w:val="center"/>
        <w:outlineLvl w:val="0"/>
        <w:rPr>
          <w:rFonts w:ascii="宋体" w:cs="宋体"/>
          <w:b/>
          <w:i w:val="0"/>
          <w:color w:val="auto"/>
          <w:w w:val="80"/>
          <w:sz w:val="52"/>
          <w:szCs w:val="52"/>
          <w:highlight w:val="none"/>
        </w:rPr>
      </w:pPr>
      <w:r>
        <w:rPr>
          <w:rFonts w:ascii="宋体" w:cs="宋体"/>
          <w:b/>
          <w:i w:val="0"/>
          <w:color w:val="auto"/>
          <w:w w:val="80"/>
          <w:sz w:val="24"/>
          <w:szCs w:val="24"/>
          <w:highlight w:val="none"/>
        </w:rPr>
        <w:br w:type="page"/>
      </w:r>
      <w:r>
        <w:rPr>
          <w:rFonts w:hint="eastAsia" w:ascii="宋体" w:cs="宋体"/>
          <w:b/>
          <w:i w:val="0"/>
          <w:color w:val="auto"/>
          <w:w w:val="80"/>
          <w:sz w:val="52"/>
          <w:szCs w:val="52"/>
          <w:highlight w:val="none"/>
        </w:rPr>
        <w:t>目</w:t>
      </w:r>
      <w:r>
        <w:rPr>
          <w:rFonts w:ascii="宋体" w:cs="宋体"/>
          <w:b/>
          <w:i w:val="0"/>
          <w:color w:val="auto"/>
          <w:w w:val="80"/>
          <w:sz w:val="52"/>
          <w:szCs w:val="52"/>
          <w:highlight w:val="none"/>
        </w:rPr>
        <w:t xml:space="preserve">   </w:t>
      </w:r>
      <w:r>
        <w:rPr>
          <w:rFonts w:hint="eastAsia" w:ascii="宋体" w:cs="宋体"/>
          <w:b/>
          <w:i w:val="0"/>
          <w:color w:val="auto"/>
          <w:w w:val="80"/>
          <w:sz w:val="52"/>
          <w:szCs w:val="52"/>
          <w:highlight w:val="none"/>
        </w:rPr>
        <w:t>录</w:t>
      </w:r>
    </w:p>
    <w:p>
      <w:pPr>
        <w:spacing w:line="800" w:lineRule="exact"/>
        <w:jc w:val="center"/>
        <w:rPr>
          <w:rFonts w:ascii="宋体" w:cs="宋体"/>
          <w:b/>
          <w:color w:val="auto"/>
          <w:sz w:val="24"/>
          <w:szCs w:val="24"/>
          <w:highlight w:val="none"/>
        </w:rPr>
      </w:pPr>
    </w:p>
    <w:p>
      <w:pPr>
        <w:pStyle w:val="25"/>
        <w:tabs>
          <w:tab w:val="left" w:pos="1050"/>
          <w:tab w:val="right" w:leader="dot" w:pos="9402"/>
        </w:tabs>
        <w:spacing w:line="520" w:lineRule="exact"/>
        <w:ind w:left="0"/>
        <w:rPr>
          <w:rFonts w:ascii="宋体" w:cs="宋体"/>
          <w:i w:val="0"/>
          <w:color w:val="auto"/>
          <w:w w:val="80"/>
          <w:sz w:val="36"/>
          <w:szCs w:val="36"/>
          <w:highlight w:val="none"/>
        </w:rPr>
      </w:pPr>
      <w:r>
        <w:rPr>
          <w:rFonts w:hint="eastAsia" w:ascii="宋体" w:hAnsi="宋体" w:cs="宋体"/>
          <w:i w:val="0"/>
          <w:color w:val="auto"/>
          <w:w w:val="80"/>
          <w:sz w:val="36"/>
          <w:szCs w:val="36"/>
          <w:highlight w:val="none"/>
        </w:rPr>
        <w:t>第一章</w:t>
      </w:r>
      <w:r>
        <w:rPr>
          <w:rFonts w:ascii="宋体" w:hAnsi="宋体" w:cs="宋体"/>
          <w:i w:val="0"/>
          <w:color w:val="auto"/>
          <w:w w:val="80"/>
          <w:sz w:val="36"/>
          <w:szCs w:val="36"/>
          <w:highlight w:val="none"/>
        </w:rPr>
        <w:t xml:space="preserve">       </w:t>
      </w:r>
      <w:r>
        <w:rPr>
          <w:rFonts w:hint="eastAsia" w:ascii="宋体" w:hAnsi="宋体" w:cs="宋体"/>
          <w:i w:val="0"/>
          <w:color w:val="auto"/>
          <w:w w:val="80"/>
          <w:sz w:val="36"/>
          <w:szCs w:val="36"/>
          <w:highlight w:val="none"/>
        </w:rPr>
        <w:t>竞争性磋商公告</w:t>
      </w:r>
    </w:p>
    <w:p>
      <w:pPr>
        <w:pStyle w:val="25"/>
        <w:tabs>
          <w:tab w:val="left" w:pos="1050"/>
          <w:tab w:val="right" w:leader="dot" w:pos="9402"/>
        </w:tabs>
        <w:spacing w:line="520" w:lineRule="exact"/>
        <w:ind w:left="0"/>
        <w:rPr>
          <w:rFonts w:ascii="宋体" w:cs="宋体"/>
          <w:i w:val="0"/>
          <w:color w:val="auto"/>
          <w:w w:val="80"/>
          <w:sz w:val="36"/>
          <w:szCs w:val="36"/>
          <w:highlight w:val="none"/>
        </w:rPr>
      </w:pPr>
    </w:p>
    <w:p>
      <w:pPr>
        <w:pStyle w:val="25"/>
        <w:tabs>
          <w:tab w:val="left" w:pos="1050"/>
          <w:tab w:val="right" w:leader="dot" w:pos="9402"/>
        </w:tabs>
        <w:spacing w:line="520" w:lineRule="exact"/>
        <w:ind w:left="0"/>
        <w:rPr>
          <w:rFonts w:ascii="宋体" w:cs="宋体"/>
          <w:i w:val="0"/>
          <w:color w:val="auto"/>
          <w:w w:val="80"/>
          <w:sz w:val="36"/>
          <w:szCs w:val="36"/>
          <w:highlight w:val="none"/>
        </w:rPr>
      </w:pPr>
      <w:r>
        <w:rPr>
          <w:rFonts w:hint="eastAsia" w:ascii="宋体" w:hAnsi="宋体" w:cs="宋体"/>
          <w:i w:val="0"/>
          <w:color w:val="auto"/>
          <w:w w:val="80"/>
          <w:sz w:val="36"/>
          <w:szCs w:val="36"/>
          <w:highlight w:val="none"/>
        </w:rPr>
        <w:t>第二章</w:t>
      </w:r>
      <w:r>
        <w:rPr>
          <w:rFonts w:ascii="宋体" w:hAnsi="宋体" w:cs="宋体"/>
          <w:i w:val="0"/>
          <w:color w:val="auto"/>
          <w:w w:val="80"/>
          <w:sz w:val="36"/>
          <w:szCs w:val="36"/>
          <w:highlight w:val="none"/>
        </w:rPr>
        <w:t xml:space="preserve">       </w:t>
      </w:r>
      <w:r>
        <w:rPr>
          <w:rFonts w:hint="eastAsia" w:ascii="宋体" w:hAnsi="宋体" w:cs="宋体"/>
          <w:i w:val="0"/>
          <w:color w:val="auto"/>
          <w:w w:val="80"/>
          <w:sz w:val="36"/>
          <w:szCs w:val="36"/>
          <w:highlight w:val="none"/>
        </w:rPr>
        <w:t>磋商供应商须知</w:t>
      </w:r>
    </w:p>
    <w:p>
      <w:pPr>
        <w:pStyle w:val="25"/>
        <w:tabs>
          <w:tab w:val="left" w:pos="1050"/>
          <w:tab w:val="right" w:leader="dot" w:pos="9402"/>
        </w:tabs>
        <w:spacing w:line="520" w:lineRule="exact"/>
        <w:ind w:left="0"/>
        <w:rPr>
          <w:rFonts w:ascii="宋体" w:cs="宋体"/>
          <w:i w:val="0"/>
          <w:color w:val="auto"/>
          <w:w w:val="80"/>
          <w:sz w:val="36"/>
          <w:szCs w:val="36"/>
          <w:highlight w:val="none"/>
        </w:rPr>
      </w:pPr>
    </w:p>
    <w:p>
      <w:pPr>
        <w:pStyle w:val="25"/>
        <w:tabs>
          <w:tab w:val="left" w:pos="1050"/>
          <w:tab w:val="right" w:leader="dot" w:pos="9402"/>
        </w:tabs>
        <w:spacing w:line="520" w:lineRule="exact"/>
        <w:ind w:left="0"/>
        <w:rPr>
          <w:rFonts w:ascii="宋体" w:cs="宋体"/>
          <w:i w:val="0"/>
          <w:color w:val="auto"/>
          <w:w w:val="80"/>
          <w:sz w:val="36"/>
          <w:szCs w:val="36"/>
          <w:highlight w:val="none"/>
        </w:rPr>
      </w:pPr>
      <w:r>
        <w:rPr>
          <w:rFonts w:hint="eastAsia" w:ascii="宋体" w:hAnsi="宋体" w:cs="宋体"/>
          <w:i w:val="0"/>
          <w:color w:val="auto"/>
          <w:w w:val="80"/>
          <w:sz w:val="36"/>
          <w:szCs w:val="36"/>
          <w:highlight w:val="none"/>
        </w:rPr>
        <w:t>第三章</w:t>
      </w:r>
      <w:r>
        <w:rPr>
          <w:rFonts w:ascii="宋体" w:hAnsi="宋体" w:cs="宋体"/>
          <w:i w:val="0"/>
          <w:color w:val="auto"/>
          <w:w w:val="80"/>
          <w:sz w:val="36"/>
          <w:szCs w:val="36"/>
          <w:highlight w:val="none"/>
        </w:rPr>
        <w:t xml:space="preserve">       </w:t>
      </w:r>
      <w:r>
        <w:rPr>
          <w:rFonts w:hint="eastAsia" w:ascii="宋体" w:hAnsi="宋体" w:cs="宋体"/>
          <w:i w:val="0"/>
          <w:color w:val="auto"/>
          <w:w w:val="80"/>
          <w:sz w:val="36"/>
          <w:szCs w:val="36"/>
          <w:highlight w:val="none"/>
        </w:rPr>
        <w:t>项目需求</w:t>
      </w:r>
    </w:p>
    <w:p>
      <w:pPr>
        <w:pStyle w:val="25"/>
        <w:tabs>
          <w:tab w:val="left" w:pos="1050"/>
          <w:tab w:val="right" w:leader="dot" w:pos="9402"/>
        </w:tabs>
        <w:spacing w:line="520" w:lineRule="exact"/>
        <w:ind w:left="0"/>
        <w:rPr>
          <w:rFonts w:ascii="宋体" w:cs="宋体"/>
          <w:i w:val="0"/>
          <w:color w:val="auto"/>
          <w:w w:val="80"/>
          <w:sz w:val="36"/>
          <w:szCs w:val="36"/>
          <w:highlight w:val="none"/>
        </w:rPr>
      </w:pPr>
    </w:p>
    <w:p>
      <w:pPr>
        <w:pStyle w:val="25"/>
        <w:numPr>
          <w:ilvl w:val="0"/>
          <w:numId w:val="1"/>
        </w:numPr>
        <w:tabs>
          <w:tab w:val="left" w:pos="1050"/>
          <w:tab w:val="right" w:leader="dot" w:pos="9402"/>
        </w:tabs>
        <w:spacing w:line="520" w:lineRule="exact"/>
        <w:ind w:left="0"/>
        <w:rPr>
          <w:rFonts w:ascii="宋体" w:cs="宋体"/>
          <w:i w:val="0"/>
          <w:color w:val="auto"/>
          <w:w w:val="80"/>
          <w:sz w:val="36"/>
          <w:szCs w:val="36"/>
          <w:highlight w:val="none"/>
        </w:rPr>
      </w:pPr>
      <w:r>
        <w:rPr>
          <w:rFonts w:ascii="宋体" w:hAnsi="宋体" w:cs="宋体"/>
          <w:i w:val="0"/>
          <w:color w:val="auto"/>
          <w:w w:val="80"/>
          <w:sz w:val="36"/>
          <w:szCs w:val="36"/>
          <w:highlight w:val="none"/>
        </w:rPr>
        <w:t xml:space="preserve">      </w:t>
      </w:r>
      <w:r>
        <w:rPr>
          <w:rFonts w:hint="eastAsia" w:ascii="宋体" w:hAnsi="宋体" w:cs="宋体"/>
          <w:i w:val="0"/>
          <w:color w:val="auto"/>
          <w:w w:val="80"/>
          <w:sz w:val="36"/>
          <w:szCs w:val="36"/>
          <w:highlight w:val="none"/>
        </w:rPr>
        <w:t>评审方法和程序</w:t>
      </w:r>
    </w:p>
    <w:p>
      <w:pPr>
        <w:pStyle w:val="25"/>
        <w:tabs>
          <w:tab w:val="left" w:pos="1050"/>
          <w:tab w:val="right" w:leader="dot" w:pos="9402"/>
        </w:tabs>
        <w:spacing w:line="520" w:lineRule="exact"/>
        <w:ind w:left="0"/>
        <w:rPr>
          <w:rFonts w:ascii="宋体" w:cs="宋体"/>
          <w:i w:val="0"/>
          <w:color w:val="auto"/>
          <w:w w:val="80"/>
          <w:sz w:val="36"/>
          <w:szCs w:val="36"/>
          <w:highlight w:val="none"/>
        </w:rPr>
      </w:pPr>
    </w:p>
    <w:p>
      <w:pPr>
        <w:pStyle w:val="25"/>
        <w:numPr>
          <w:ilvl w:val="0"/>
          <w:numId w:val="1"/>
        </w:numPr>
        <w:tabs>
          <w:tab w:val="left" w:pos="1050"/>
          <w:tab w:val="right" w:leader="dot" w:pos="9402"/>
        </w:tabs>
        <w:spacing w:line="520" w:lineRule="exact"/>
        <w:ind w:left="0"/>
        <w:rPr>
          <w:rFonts w:ascii="宋体" w:cs="宋体"/>
          <w:i w:val="0"/>
          <w:color w:val="auto"/>
          <w:w w:val="80"/>
          <w:sz w:val="36"/>
          <w:szCs w:val="36"/>
          <w:highlight w:val="none"/>
        </w:rPr>
      </w:pPr>
      <w:r>
        <w:rPr>
          <w:rFonts w:ascii="宋体" w:hAnsi="宋体" w:cs="宋体"/>
          <w:i w:val="0"/>
          <w:color w:val="auto"/>
          <w:w w:val="80"/>
          <w:sz w:val="36"/>
          <w:szCs w:val="36"/>
          <w:highlight w:val="none"/>
        </w:rPr>
        <w:t xml:space="preserve">      </w:t>
      </w:r>
      <w:r>
        <w:rPr>
          <w:rFonts w:hint="eastAsia" w:ascii="宋体" w:hAnsi="宋体" w:cs="宋体"/>
          <w:i w:val="0"/>
          <w:color w:val="auto"/>
          <w:w w:val="80"/>
          <w:sz w:val="36"/>
          <w:szCs w:val="36"/>
          <w:highlight w:val="none"/>
        </w:rPr>
        <w:t>合同授予</w:t>
      </w:r>
    </w:p>
    <w:p>
      <w:pPr>
        <w:pStyle w:val="25"/>
        <w:tabs>
          <w:tab w:val="left" w:pos="1050"/>
          <w:tab w:val="right" w:leader="dot" w:pos="9402"/>
        </w:tabs>
        <w:spacing w:line="520" w:lineRule="exact"/>
        <w:ind w:left="0"/>
        <w:rPr>
          <w:rFonts w:ascii="宋体" w:cs="宋体"/>
          <w:i w:val="0"/>
          <w:color w:val="auto"/>
          <w:w w:val="80"/>
          <w:sz w:val="36"/>
          <w:szCs w:val="36"/>
          <w:highlight w:val="none"/>
        </w:rPr>
      </w:pPr>
    </w:p>
    <w:p>
      <w:pPr>
        <w:pStyle w:val="25"/>
        <w:numPr>
          <w:ilvl w:val="0"/>
          <w:numId w:val="1"/>
        </w:numPr>
        <w:tabs>
          <w:tab w:val="left" w:pos="1050"/>
          <w:tab w:val="right" w:leader="dot" w:pos="9402"/>
        </w:tabs>
        <w:spacing w:line="520" w:lineRule="exact"/>
        <w:ind w:left="0"/>
        <w:rPr>
          <w:rFonts w:ascii="宋体" w:cs="宋体"/>
          <w:i w:val="0"/>
          <w:color w:val="auto"/>
          <w:w w:val="80"/>
          <w:sz w:val="36"/>
          <w:szCs w:val="36"/>
          <w:highlight w:val="none"/>
        </w:rPr>
      </w:pPr>
      <w:r>
        <w:rPr>
          <w:rFonts w:ascii="宋体" w:hAnsi="宋体" w:cs="宋体"/>
          <w:i w:val="0"/>
          <w:color w:val="auto"/>
          <w:w w:val="80"/>
          <w:sz w:val="36"/>
          <w:szCs w:val="36"/>
          <w:highlight w:val="none"/>
        </w:rPr>
        <w:t xml:space="preserve">      </w:t>
      </w:r>
      <w:r>
        <w:rPr>
          <w:rFonts w:hint="eastAsia" w:ascii="宋体" w:hAnsi="宋体" w:cs="宋体"/>
          <w:i w:val="0"/>
          <w:color w:val="auto"/>
          <w:w w:val="80"/>
          <w:sz w:val="36"/>
          <w:szCs w:val="36"/>
          <w:highlight w:val="none"/>
        </w:rPr>
        <w:t>质疑提出和处理</w:t>
      </w:r>
    </w:p>
    <w:p>
      <w:pPr>
        <w:pStyle w:val="25"/>
        <w:tabs>
          <w:tab w:val="left" w:pos="1050"/>
          <w:tab w:val="right" w:leader="dot" w:pos="9402"/>
        </w:tabs>
        <w:spacing w:line="520" w:lineRule="exact"/>
        <w:ind w:left="0"/>
        <w:rPr>
          <w:rFonts w:ascii="宋体" w:cs="宋体"/>
          <w:i w:val="0"/>
          <w:color w:val="auto"/>
          <w:w w:val="80"/>
          <w:sz w:val="36"/>
          <w:szCs w:val="36"/>
          <w:highlight w:val="none"/>
        </w:rPr>
      </w:pPr>
    </w:p>
    <w:p>
      <w:pPr>
        <w:pStyle w:val="25"/>
        <w:numPr>
          <w:ilvl w:val="0"/>
          <w:numId w:val="1"/>
        </w:numPr>
        <w:tabs>
          <w:tab w:val="left" w:pos="1050"/>
          <w:tab w:val="right" w:leader="dot" w:pos="9402"/>
        </w:tabs>
        <w:spacing w:line="520" w:lineRule="exact"/>
        <w:ind w:left="0"/>
        <w:rPr>
          <w:rFonts w:ascii="宋体" w:cs="宋体"/>
          <w:i w:val="0"/>
          <w:color w:val="auto"/>
          <w:w w:val="80"/>
          <w:sz w:val="36"/>
          <w:szCs w:val="36"/>
          <w:highlight w:val="none"/>
        </w:rPr>
      </w:pPr>
      <w:r>
        <w:rPr>
          <w:rFonts w:ascii="宋体" w:hAnsi="宋体" w:cs="宋体"/>
          <w:i w:val="0"/>
          <w:color w:val="auto"/>
          <w:w w:val="80"/>
          <w:sz w:val="36"/>
          <w:szCs w:val="36"/>
          <w:highlight w:val="none"/>
        </w:rPr>
        <w:t xml:space="preserve">      </w:t>
      </w:r>
      <w:r>
        <w:rPr>
          <w:rFonts w:hint="eastAsia" w:ascii="宋体" w:hAnsi="宋体" w:cs="宋体"/>
          <w:i w:val="0"/>
          <w:color w:val="auto"/>
          <w:w w:val="80"/>
          <w:sz w:val="36"/>
          <w:szCs w:val="36"/>
          <w:highlight w:val="none"/>
        </w:rPr>
        <w:t>响应文件组成及格式</w:t>
      </w:r>
    </w:p>
    <w:p>
      <w:pPr>
        <w:pStyle w:val="25"/>
        <w:tabs>
          <w:tab w:val="left" w:pos="1050"/>
          <w:tab w:val="right" w:leader="dot" w:pos="9402"/>
        </w:tabs>
        <w:spacing w:line="520" w:lineRule="exact"/>
        <w:ind w:left="0"/>
        <w:rPr>
          <w:rFonts w:ascii="宋体" w:cs="宋体"/>
          <w:i w:val="0"/>
          <w:color w:val="auto"/>
          <w:w w:val="80"/>
          <w:sz w:val="36"/>
          <w:szCs w:val="36"/>
          <w:highlight w:val="none"/>
        </w:rPr>
      </w:pPr>
    </w:p>
    <w:p>
      <w:pPr>
        <w:pStyle w:val="25"/>
        <w:tabs>
          <w:tab w:val="left" w:pos="1050"/>
          <w:tab w:val="right" w:leader="dot" w:pos="9402"/>
        </w:tabs>
        <w:spacing w:line="520" w:lineRule="exact"/>
        <w:ind w:left="0"/>
        <w:rPr>
          <w:rFonts w:ascii="宋体" w:cs="宋体"/>
          <w:i w:val="0"/>
          <w:color w:val="auto"/>
          <w:w w:val="80"/>
          <w:sz w:val="36"/>
          <w:szCs w:val="36"/>
          <w:highlight w:val="none"/>
        </w:rPr>
      </w:pPr>
    </w:p>
    <w:p>
      <w:pPr>
        <w:snapToGrid w:val="0"/>
        <w:spacing w:line="360" w:lineRule="auto"/>
        <w:rPr>
          <w:rFonts w:ascii="宋体" w:cs="宋体"/>
          <w:b/>
          <w:color w:val="auto"/>
          <w:sz w:val="24"/>
          <w:szCs w:val="24"/>
          <w:highlight w:val="none"/>
        </w:rPr>
      </w:pPr>
      <w:r>
        <w:rPr>
          <w:rFonts w:ascii="宋体" w:cs="宋体"/>
          <w:b/>
          <w:color w:val="auto"/>
          <w:sz w:val="24"/>
          <w:szCs w:val="24"/>
          <w:highlight w:val="none"/>
        </w:rPr>
        <w:br w:type="page"/>
      </w:r>
      <w:r>
        <w:rPr>
          <w:rFonts w:hint="eastAsia" w:ascii="宋体" w:hAnsi="宋体" w:cs="宋体"/>
          <w:b/>
          <w:color w:val="auto"/>
          <w:sz w:val="24"/>
          <w:szCs w:val="24"/>
          <w:highlight w:val="none"/>
        </w:rPr>
        <w:t>尊敬的磋商供应商：</w:t>
      </w:r>
    </w:p>
    <w:p>
      <w:pPr>
        <w:snapToGrid w:val="0"/>
        <w:spacing w:line="360" w:lineRule="auto"/>
        <w:ind w:firstLine="482" w:firstLineChars="200"/>
        <w:rPr>
          <w:rFonts w:ascii="宋体" w:cs="宋体"/>
          <w:b/>
          <w:color w:val="auto"/>
          <w:sz w:val="24"/>
          <w:szCs w:val="24"/>
          <w:highlight w:val="none"/>
        </w:rPr>
      </w:pPr>
      <w:r>
        <w:rPr>
          <w:rFonts w:hint="eastAsia" w:ascii="宋体" w:hAnsi="宋体" w:cs="宋体"/>
          <w:b/>
          <w:color w:val="auto"/>
          <w:sz w:val="24"/>
          <w:szCs w:val="24"/>
          <w:highlight w:val="none"/>
        </w:rPr>
        <w:t>欢迎参加本采购项目的竞争性磋商。为了保证本次磋商项目顺利进行，请在制作响应文件之前，仔细阅读本竞争性磋商文件的各项条款，并按要求制作和递交响应文件。谢谢合作！</w:t>
      </w:r>
    </w:p>
    <w:p>
      <w:pPr>
        <w:pStyle w:val="25"/>
        <w:tabs>
          <w:tab w:val="left" w:pos="1050"/>
          <w:tab w:val="right" w:leader="dot" w:pos="9402"/>
        </w:tabs>
        <w:spacing w:line="360" w:lineRule="auto"/>
        <w:ind w:left="0"/>
        <w:jc w:val="center"/>
        <w:outlineLvl w:val="0"/>
        <w:rPr>
          <w:rFonts w:ascii="宋体" w:cs="宋体"/>
          <w:b/>
          <w:i w:val="0"/>
          <w:color w:val="auto"/>
          <w:w w:val="80"/>
          <w:sz w:val="44"/>
          <w:szCs w:val="44"/>
          <w:highlight w:val="none"/>
        </w:rPr>
      </w:pPr>
      <w:bookmarkStart w:id="10" w:name="_Toc363573853"/>
      <w:r>
        <w:rPr>
          <w:rFonts w:hint="eastAsia" w:ascii="宋体" w:hAnsi="宋体" w:cs="宋体"/>
          <w:b/>
          <w:i w:val="0"/>
          <w:color w:val="auto"/>
          <w:w w:val="80"/>
          <w:sz w:val="44"/>
          <w:szCs w:val="44"/>
          <w:highlight w:val="none"/>
        </w:rPr>
        <w:t>第一章</w:t>
      </w:r>
      <w:r>
        <w:rPr>
          <w:rFonts w:ascii="宋体" w:hAnsi="宋体" w:cs="宋体"/>
          <w:b/>
          <w:i w:val="0"/>
          <w:color w:val="auto"/>
          <w:w w:val="80"/>
          <w:sz w:val="44"/>
          <w:szCs w:val="44"/>
          <w:highlight w:val="none"/>
        </w:rPr>
        <w:t xml:space="preserve">  </w:t>
      </w:r>
      <w:r>
        <w:rPr>
          <w:rFonts w:hint="eastAsia" w:ascii="宋体" w:hAnsi="宋体" w:cs="宋体"/>
          <w:b/>
          <w:i w:val="0"/>
          <w:color w:val="auto"/>
          <w:w w:val="80"/>
          <w:sz w:val="44"/>
          <w:szCs w:val="44"/>
          <w:highlight w:val="none"/>
        </w:rPr>
        <w:t>竞争性磋商公</w:t>
      </w:r>
      <w:bookmarkEnd w:id="0"/>
      <w:bookmarkEnd w:id="1"/>
      <w:bookmarkEnd w:id="2"/>
      <w:bookmarkEnd w:id="3"/>
      <w:bookmarkEnd w:id="4"/>
      <w:bookmarkEnd w:id="5"/>
      <w:bookmarkEnd w:id="6"/>
      <w:bookmarkEnd w:id="7"/>
      <w:bookmarkEnd w:id="8"/>
      <w:bookmarkEnd w:id="9"/>
      <w:r>
        <w:rPr>
          <w:rFonts w:hint="eastAsia" w:ascii="宋体" w:hAnsi="宋体" w:cs="宋体"/>
          <w:b/>
          <w:i w:val="0"/>
          <w:color w:val="auto"/>
          <w:w w:val="80"/>
          <w:sz w:val="44"/>
          <w:szCs w:val="44"/>
          <w:highlight w:val="none"/>
        </w:rPr>
        <w:t>告</w:t>
      </w:r>
      <w:bookmarkEnd w:id="10"/>
    </w:p>
    <w:p>
      <w:pPr>
        <w:tabs>
          <w:tab w:val="left" w:pos="6300"/>
        </w:tabs>
        <w:snapToGrid w:val="0"/>
        <w:spacing w:line="360" w:lineRule="auto"/>
        <w:jc w:val="left"/>
        <w:rPr>
          <w:rFonts w:ascii="宋体" w:hAnsi="宋体" w:cs="宋体"/>
          <w:color w:val="auto"/>
          <w:sz w:val="24"/>
          <w:szCs w:val="24"/>
          <w:highlight w:val="none"/>
        </w:rPr>
      </w:pPr>
      <w:bookmarkStart w:id="11" w:name="_Toc94585340"/>
      <w:bookmarkStart w:id="12" w:name="_Toc521201597"/>
      <w:bookmarkStart w:id="13" w:name="_Toc94544744"/>
      <w:bookmarkStart w:id="14" w:name="_Toc8895739"/>
      <w:bookmarkStart w:id="15" w:name="_Toc94544828"/>
      <w:bookmarkStart w:id="16" w:name="_Toc12670503"/>
      <w:bookmarkStart w:id="17" w:name="_Toc521203418"/>
      <w:bookmarkStart w:id="18" w:name="_Toc11554639"/>
      <w:bookmarkStart w:id="19" w:name="_Toc11500280"/>
      <w:bookmarkStart w:id="20" w:name="_Toc11499584"/>
      <w:bookmarkStart w:id="21" w:name="_Toc363573854"/>
      <w:r>
        <w:rPr>
          <w:color w:val="auto"/>
          <w:sz w:val="24"/>
          <w:szCs w:val="24"/>
          <w:highlight w:val="none"/>
        </w:rPr>
        <w:t xml:space="preserve">  </w:t>
      </w:r>
      <w:r>
        <w:rPr>
          <w:rFonts w:hint="eastAsia" w:ascii="宋体" w:hAnsi="宋体" w:cs="宋体"/>
          <w:color w:val="auto"/>
          <w:sz w:val="24"/>
          <w:szCs w:val="24"/>
          <w:highlight w:val="none"/>
        </w:rPr>
        <w:t>江苏正扬招标代理有限公司（以下称代理机构）受</w:t>
      </w:r>
      <w:r>
        <w:rPr>
          <w:rFonts w:hint="eastAsia" w:ascii="宋体" w:hAnsi="宋体" w:cs="宋体"/>
          <w:color w:val="auto"/>
          <w:sz w:val="24"/>
          <w:szCs w:val="24"/>
          <w:highlight w:val="none"/>
          <w:lang w:eastAsia="zh-CN"/>
        </w:rPr>
        <w:t>南通市第三人民医院</w:t>
      </w:r>
      <w:r>
        <w:rPr>
          <w:rFonts w:hint="eastAsia" w:ascii="宋体" w:hAnsi="宋体" w:cs="宋体"/>
          <w:color w:val="auto"/>
          <w:sz w:val="24"/>
          <w:szCs w:val="24"/>
          <w:highlight w:val="none"/>
        </w:rPr>
        <w:t>（以下简称采购单位）的委托，对其</w:t>
      </w:r>
      <w:r>
        <w:rPr>
          <w:rFonts w:hint="eastAsia" w:ascii="宋体" w:hAnsi="宋体" w:cs="宋体"/>
          <w:color w:val="auto"/>
          <w:sz w:val="24"/>
          <w:szCs w:val="24"/>
          <w:highlight w:val="none"/>
          <w:lang w:eastAsia="zh-CN"/>
        </w:rPr>
        <w:t>南通市第三人民医院单病种数据上报项目</w:t>
      </w:r>
      <w:r>
        <w:rPr>
          <w:rFonts w:hint="eastAsia" w:ascii="宋体" w:hAnsi="宋体" w:cs="宋体"/>
          <w:color w:val="auto"/>
          <w:sz w:val="24"/>
          <w:szCs w:val="24"/>
          <w:highlight w:val="none"/>
        </w:rPr>
        <w:t>拟用竞争性磋商方式组织采购。现公告如下：</w:t>
      </w:r>
    </w:p>
    <w:p>
      <w:pPr>
        <w:pStyle w:val="6"/>
        <w:spacing w:before="0" w:after="0" w:line="360" w:lineRule="auto"/>
        <w:ind w:firstLine="482" w:firstLineChars="200"/>
        <w:rPr>
          <w:rFonts w:ascii="宋体" w:hAnsi="宋体" w:eastAsia="宋体" w:cs="宋体"/>
          <w:color w:val="auto"/>
          <w:sz w:val="24"/>
          <w:szCs w:val="24"/>
          <w:highlight w:val="none"/>
        </w:rPr>
      </w:pPr>
      <w:bookmarkStart w:id="22" w:name="_Toc28359089"/>
      <w:bookmarkStart w:id="23" w:name="_Toc35393629"/>
      <w:bookmarkStart w:id="24" w:name="_Toc35393798"/>
      <w:bookmarkStart w:id="25" w:name="_Toc28359012"/>
      <w:r>
        <w:rPr>
          <w:rFonts w:hint="eastAsia" w:ascii="宋体" w:hAnsi="宋体" w:eastAsia="宋体" w:cs="宋体"/>
          <w:color w:val="auto"/>
          <w:sz w:val="24"/>
          <w:szCs w:val="24"/>
          <w:highlight w:val="none"/>
        </w:rPr>
        <w:t>一、项目基本情况</w:t>
      </w:r>
      <w:bookmarkEnd w:id="22"/>
      <w:bookmarkEnd w:id="23"/>
      <w:bookmarkEnd w:id="24"/>
      <w:bookmarkEnd w:id="25"/>
    </w:p>
    <w:p>
      <w:pPr>
        <w:snapToGrid w:val="0"/>
        <w:spacing w:line="360" w:lineRule="auto"/>
        <w:ind w:firstLine="480" w:firstLineChars="200"/>
        <w:jc w:val="left"/>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lang w:eastAsia="zh-CN"/>
        </w:rPr>
        <w:t>1.</w:t>
      </w:r>
      <w:r>
        <w:rPr>
          <w:rFonts w:hint="eastAsia" w:ascii="宋体" w:hAnsi="宋体" w:cs="宋体"/>
          <w:color w:val="auto"/>
          <w:sz w:val="24"/>
          <w:szCs w:val="24"/>
          <w:highlight w:val="none"/>
        </w:rPr>
        <w:t>项目名称：</w:t>
      </w:r>
      <w:r>
        <w:rPr>
          <w:rFonts w:hint="eastAsia" w:ascii="宋体" w:hAnsi="宋体" w:cs="宋体"/>
          <w:color w:val="auto"/>
          <w:sz w:val="24"/>
          <w:szCs w:val="24"/>
          <w:highlight w:val="none"/>
          <w:lang w:eastAsia="zh-CN"/>
        </w:rPr>
        <w:t>南通市第三人民医院单病种数据上报项目</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cs="宋体"/>
          <w:color w:val="auto"/>
          <w:sz w:val="24"/>
          <w:szCs w:val="24"/>
          <w:highlight w:val="none"/>
        </w:rPr>
        <w:t>采购方式：竞争性磋商</w:t>
      </w:r>
    </w:p>
    <w:p>
      <w:pPr>
        <w:snapToGrid w:val="0"/>
        <w:spacing w:line="360" w:lineRule="auto"/>
        <w:ind w:firstLine="480" w:firstLineChars="200"/>
        <w:jc w:val="left"/>
        <w:rPr>
          <w:rFonts w:hint="default" w:ascii="宋体" w:hAnsi="宋体" w:cs="宋体"/>
          <w:color w:val="auto"/>
          <w:sz w:val="24"/>
          <w:szCs w:val="24"/>
          <w:highlight w:val="none"/>
          <w:lang w:val="en-US" w:eastAsia="zh-CN"/>
        </w:rPr>
      </w:pPr>
      <w:r>
        <w:rPr>
          <w:rFonts w:hint="eastAsia" w:ascii="宋体" w:hAnsi="宋体" w:cs="宋体"/>
          <w:color w:val="auto"/>
          <w:sz w:val="24"/>
          <w:szCs w:val="24"/>
          <w:highlight w:val="none"/>
          <w:lang w:eastAsia="zh-CN"/>
        </w:rPr>
        <w:t>3.</w:t>
      </w:r>
      <w:r>
        <w:rPr>
          <w:rFonts w:hint="eastAsia" w:ascii="宋体" w:hAnsi="宋体" w:cs="宋体"/>
          <w:color w:val="auto"/>
          <w:sz w:val="24"/>
          <w:szCs w:val="24"/>
          <w:highlight w:val="none"/>
        </w:rPr>
        <w:t>项</w:t>
      </w:r>
      <w:r>
        <w:rPr>
          <w:rFonts w:hint="eastAsia" w:ascii="宋体" w:hAnsi="宋体" w:cs="宋体"/>
          <w:color w:val="auto"/>
          <w:sz w:val="24"/>
          <w:szCs w:val="24"/>
          <w:highlight w:val="none"/>
          <w:lang w:val="en-US" w:eastAsia="zh-CN"/>
        </w:rPr>
        <w:t>目预算：10万元</w:t>
      </w:r>
    </w:p>
    <w:p>
      <w:pPr>
        <w:snapToGrid w:val="0"/>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4.最高限价：10万元</w:t>
      </w:r>
    </w:p>
    <w:p>
      <w:pPr>
        <w:snapToGrid w:val="0"/>
        <w:spacing w:line="360" w:lineRule="auto"/>
        <w:ind w:firstLine="480" w:firstLineChars="200"/>
        <w:jc w:val="left"/>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5.采购需求：详见第三章项目需求</w:t>
      </w:r>
    </w:p>
    <w:p>
      <w:pPr>
        <w:snapToGrid w:val="0"/>
        <w:spacing w:line="360" w:lineRule="auto"/>
        <w:ind w:firstLine="480" w:firstLineChars="200"/>
        <w:jc w:val="left"/>
        <w:rPr>
          <w:rFonts w:hint="eastAsia" w:hAnsi="宋体"/>
          <w:color w:val="auto"/>
          <w:sz w:val="24"/>
          <w:highlight w:val="none"/>
          <w:lang w:val="en-US" w:eastAsia="zh-CN"/>
        </w:rPr>
      </w:pPr>
      <w:r>
        <w:rPr>
          <w:rFonts w:hint="eastAsia" w:ascii="宋体" w:hAnsi="宋体" w:cs="宋体"/>
          <w:color w:val="auto"/>
          <w:sz w:val="24"/>
          <w:szCs w:val="24"/>
          <w:highlight w:val="none"/>
          <w:lang w:eastAsia="zh-CN"/>
        </w:rPr>
        <w:t>6.</w:t>
      </w:r>
      <w:r>
        <w:rPr>
          <w:rFonts w:hint="eastAsia" w:ascii="宋体" w:hAnsi="宋体" w:cs="宋体"/>
          <w:color w:val="auto"/>
          <w:sz w:val="24"/>
          <w:szCs w:val="24"/>
          <w:highlight w:val="none"/>
          <w:lang w:val="en-US" w:eastAsia="zh-CN"/>
        </w:rPr>
        <w:t>交付时间</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zh-CN" w:eastAsia="zh-CN"/>
        </w:rPr>
        <w:t>合同正式签署生效起</w:t>
      </w:r>
      <w:r>
        <w:rPr>
          <w:rFonts w:hint="eastAsia" w:ascii="宋体" w:hAnsi="宋体" w:cs="宋体"/>
          <w:color w:val="auto"/>
          <w:sz w:val="24"/>
          <w:szCs w:val="24"/>
          <w:highlight w:val="none"/>
          <w:lang w:val="en-US" w:eastAsia="zh-CN"/>
        </w:rPr>
        <w:t>15个工作日</w:t>
      </w:r>
      <w:r>
        <w:rPr>
          <w:rFonts w:hint="eastAsia" w:ascii="宋体" w:hAnsi="宋体" w:cs="宋体"/>
          <w:color w:val="auto"/>
          <w:sz w:val="24"/>
          <w:szCs w:val="24"/>
          <w:highlight w:val="none"/>
          <w:lang w:val="zh-CN" w:eastAsia="zh-CN"/>
        </w:rPr>
        <w:t>内完成</w:t>
      </w:r>
      <w:r>
        <w:rPr>
          <w:rFonts w:hint="eastAsia" w:ascii="宋体" w:hAnsi="宋体" w:cs="宋体"/>
          <w:color w:val="auto"/>
          <w:sz w:val="24"/>
          <w:szCs w:val="24"/>
          <w:highlight w:val="none"/>
          <w:lang w:val="en-US" w:eastAsia="zh-CN"/>
        </w:rPr>
        <w:t xml:space="preserve"> </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本项目不接受任何形式的联合体竞争性磋商</w:t>
      </w:r>
    </w:p>
    <w:p>
      <w:pPr>
        <w:spacing w:line="360" w:lineRule="auto"/>
        <w:ind w:firstLine="354" w:firstLineChars="147"/>
        <w:jc w:val="left"/>
        <w:rPr>
          <w:rFonts w:ascii="宋体" w:hAnsi="宋体" w:cs="宋体"/>
          <w:b/>
          <w:color w:val="auto"/>
          <w:sz w:val="24"/>
          <w:szCs w:val="24"/>
          <w:highlight w:val="none"/>
        </w:rPr>
      </w:pPr>
      <w:r>
        <w:rPr>
          <w:rFonts w:hint="eastAsia" w:ascii="宋体" w:hAnsi="宋体" w:cs="宋体"/>
          <w:b/>
          <w:color w:val="auto"/>
          <w:sz w:val="24"/>
          <w:szCs w:val="24"/>
          <w:highlight w:val="none"/>
        </w:rPr>
        <w:t xml:space="preserve"> 二、</w:t>
      </w:r>
      <w:r>
        <w:rPr>
          <w:rFonts w:hint="eastAsia" w:ascii="宋体" w:hAnsi="宋体" w:cs="宋体"/>
          <w:b/>
          <w:bCs/>
          <w:color w:val="auto"/>
          <w:sz w:val="24"/>
          <w:szCs w:val="24"/>
          <w:highlight w:val="none"/>
        </w:rPr>
        <w:t>供应商资格要求</w:t>
      </w:r>
      <w:r>
        <w:rPr>
          <w:rFonts w:hint="eastAsia" w:ascii="宋体" w:hAnsi="宋体" w:cs="宋体"/>
          <w:b/>
          <w:color w:val="auto"/>
          <w:sz w:val="24"/>
          <w:szCs w:val="24"/>
          <w:highlight w:val="none"/>
        </w:rPr>
        <w:t>：</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cs="宋体"/>
          <w:color w:val="auto"/>
          <w:sz w:val="24"/>
          <w:szCs w:val="24"/>
          <w:highlight w:val="none"/>
        </w:rPr>
        <w:t>具有独立承担民事责任的能力；具有良好的商业信誉和健全的财务会计制度；具有履行合同所必需的设备和专业技术能力；有依法缴纳税收和社会保障资金的良好记录；参加</w:t>
      </w:r>
      <w:r>
        <w:rPr>
          <w:rFonts w:hint="eastAsia" w:ascii="宋体" w:hAnsi="宋体" w:cs="宋体"/>
          <w:color w:val="auto"/>
          <w:sz w:val="24"/>
          <w:szCs w:val="24"/>
          <w:highlight w:val="none"/>
          <w:lang w:val="en-US" w:eastAsia="zh-CN"/>
        </w:rPr>
        <w:t>本次</w:t>
      </w:r>
      <w:r>
        <w:rPr>
          <w:rFonts w:hint="eastAsia" w:ascii="宋体" w:hAnsi="宋体" w:cs="宋体"/>
          <w:color w:val="auto"/>
          <w:sz w:val="24"/>
          <w:szCs w:val="24"/>
          <w:highlight w:val="none"/>
        </w:rPr>
        <w:t>采购活动前三年内，在经营活动中没有重大违法记录。</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cs="宋体"/>
          <w:color w:val="auto"/>
          <w:sz w:val="24"/>
          <w:szCs w:val="24"/>
          <w:highlight w:val="none"/>
        </w:rPr>
        <w:t>法定代表人为同一个人的两个及两个以上法人，母公司、全资子公司及其控股公司，都不得在同一采购项目相同标段中同时参加竞争性磋商，一经发现，将视同围标处理。</w:t>
      </w:r>
    </w:p>
    <w:p>
      <w:pPr>
        <w:snapToGrid w:val="0"/>
        <w:spacing w:line="360" w:lineRule="auto"/>
        <w:ind w:firstLine="482" w:firstLineChars="200"/>
        <w:jc w:val="left"/>
        <w:rPr>
          <w:rFonts w:ascii="宋体" w:hAnsi="宋体" w:cs="宋体"/>
          <w:b/>
          <w:color w:val="auto"/>
          <w:sz w:val="24"/>
          <w:szCs w:val="24"/>
          <w:highlight w:val="none"/>
        </w:rPr>
      </w:pPr>
      <w:r>
        <w:rPr>
          <w:rFonts w:hint="eastAsia" w:ascii="宋体" w:hAnsi="宋体" w:cs="宋体"/>
          <w:b/>
          <w:color w:val="auto"/>
          <w:sz w:val="24"/>
          <w:szCs w:val="24"/>
          <w:highlight w:val="none"/>
        </w:rPr>
        <w:t>供应商其他资格要求：</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cs="宋体"/>
          <w:color w:val="auto"/>
          <w:sz w:val="24"/>
          <w:szCs w:val="24"/>
          <w:highlight w:val="none"/>
        </w:rPr>
        <w:t>投标供应商必须具有独立的法人资格，提供有效的营业执照及税务登记证（或者是三证合一的营业执照），有能力提供本次采购项目所要求的服务。</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cs="宋体"/>
          <w:color w:val="auto"/>
          <w:sz w:val="24"/>
          <w:szCs w:val="24"/>
          <w:highlight w:val="none"/>
        </w:rPr>
        <w:t>投标供应商法定代表人参加投标的，必须提供法定代表人身份证明及法定代表人本人身份证复印件；非法定代表人参加投标的，必须提供法定代表人签字或盖章的授权委托书及法定代表人、被授权人的两人身份证的复印件，被授权人为投标供应商正式人员证明材料【</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rPr>
        <w:t>授权代表与</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签订的有效劳动合同复印件</w:t>
      </w:r>
      <w:r>
        <w:rPr>
          <w:rFonts w:hint="eastAsia" w:ascii="宋体" w:hAnsi="宋体" w:cs="宋体"/>
          <w:color w:val="auto"/>
          <w:sz w:val="24"/>
          <w:szCs w:val="24"/>
          <w:highlight w:val="none"/>
        </w:rPr>
        <w:t>】。</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eastAsia="zh-CN"/>
        </w:rPr>
        <w:t>5.</w:t>
      </w:r>
      <w:r>
        <w:rPr>
          <w:rFonts w:hint="eastAsia" w:ascii="宋体" w:hAnsi="宋体" w:cs="宋体"/>
          <w:color w:val="auto"/>
          <w:sz w:val="24"/>
          <w:szCs w:val="24"/>
          <w:highlight w:val="none"/>
        </w:rPr>
        <w:t>投标供应商须提供参与本次项目采购活动前三年内，在经营活动中没有重大违法记录的书面《无重大违法记录声明函》（</w:t>
      </w:r>
      <w:r>
        <w:rPr>
          <w:rFonts w:hint="eastAsia" w:ascii="宋体" w:hAnsi="宋体" w:cs="宋体"/>
          <w:color w:val="auto"/>
          <w:sz w:val="24"/>
          <w:szCs w:val="24"/>
          <w:highlight w:val="none"/>
          <w:lang w:eastAsia="zh-CN"/>
        </w:rPr>
        <w:t>格式参见第七章</w:t>
      </w:r>
      <w:r>
        <w:rPr>
          <w:rFonts w:hint="eastAsia" w:ascii="宋体" w:hAnsi="宋体" w:cs="宋体"/>
          <w:color w:val="auto"/>
          <w:sz w:val="24"/>
          <w:szCs w:val="24"/>
          <w:highlight w:val="none"/>
        </w:rPr>
        <w:t>）。</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eastAsia="zh-CN"/>
        </w:rPr>
        <w:t>6.</w:t>
      </w:r>
      <w:r>
        <w:rPr>
          <w:rFonts w:hint="eastAsia" w:ascii="宋体" w:hAnsi="宋体" w:cs="宋体"/>
          <w:color w:val="auto"/>
          <w:sz w:val="24"/>
          <w:szCs w:val="24"/>
          <w:highlight w:val="none"/>
        </w:rPr>
        <w:t>关于资格文件的声明函（</w:t>
      </w:r>
      <w:r>
        <w:rPr>
          <w:rFonts w:hint="eastAsia" w:ascii="宋体" w:hAnsi="宋体" w:cs="宋体"/>
          <w:color w:val="auto"/>
          <w:sz w:val="24"/>
          <w:szCs w:val="24"/>
          <w:highlight w:val="none"/>
          <w:lang w:eastAsia="zh-CN"/>
        </w:rPr>
        <w:t>格式参见第七章</w:t>
      </w:r>
      <w:r>
        <w:rPr>
          <w:rFonts w:hint="eastAsia" w:ascii="宋体" w:hAnsi="宋体" w:cs="宋体"/>
          <w:color w:val="auto"/>
          <w:sz w:val="24"/>
          <w:szCs w:val="24"/>
          <w:highlight w:val="none"/>
        </w:rPr>
        <w:t>）。</w:t>
      </w:r>
    </w:p>
    <w:p>
      <w:pPr>
        <w:widowControl/>
        <w:snapToGrid w:val="0"/>
        <w:spacing w:line="360" w:lineRule="auto"/>
        <w:ind w:firstLine="472" w:firstLineChars="196"/>
        <w:jc w:val="left"/>
        <w:rPr>
          <w:rFonts w:ascii="宋体" w:hAnsi="宋体" w:cs="宋体"/>
          <w:b/>
          <w:color w:val="auto"/>
          <w:sz w:val="24"/>
          <w:szCs w:val="24"/>
          <w:highlight w:val="none"/>
          <w:u w:val="single"/>
        </w:rPr>
      </w:pPr>
      <w:r>
        <w:rPr>
          <w:rFonts w:hint="eastAsia" w:ascii="宋体" w:hAnsi="宋体" w:cs="宋体"/>
          <w:b/>
          <w:color w:val="auto"/>
          <w:sz w:val="24"/>
          <w:szCs w:val="24"/>
          <w:highlight w:val="none"/>
          <w:u w:val="single"/>
        </w:rPr>
        <w:t>具体资格要求详见第</w:t>
      </w:r>
      <w:r>
        <w:rPr>
          <w:rFonts w:hint="eastAsia" w:ascii="宋体" w:hAnsi="宋体" w:cs="宋体"/>
          <w:b/>
          <w:color w:val="auto"/>
          <w:sz w:val="24"/>
          <w:szCs w:val="24"/>
          <w:highlight w:val="none"/>
          <w:u w:val="single"/>
          <w:lang w:val="en-US" w:eastAsia="zh-CN"/>
        </w:rPr>
        <w:t>七</w:t>
      </w:r>
      <w:r>
        <w:rPr>
          <w:rFonts w:hint="eastAsia" w:ascii="宋体" w:hAnsi="宋体" w:cs="宋体"/>
          <w:b/>
          <w:color w:val="auto"/>
          <w:sz w:val="24"/>
          <w:szCs w:val="24"/>
          <w:highlight w:val="none"/>
          <w:u w:val="single"/>
        </w:rPr>
        <w:t xml:space="preserve">章中的“资格审查文件”。 </w:t>
      </w:r>
    </w:p>
    <w:p>
      <w:pPr>
        <w:widowControl/>
        <w:snapToGrid w:val="0"/>
        <w:spacing w:line="360" w:lineRule="auto"/>
        <w:ind w:firstLine="472" w:firstLineChars="196"/>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请投标供应商认真对照资格条件，如不符合要求的，无意或故意参与投标所产生的一切后果由投标供应商自行承担，开标过程中，投标供应商提供的相关证件为虚假或伪造，或者其他人员持法定代表人或授权委托人的身份证参与投标，一经发现则取消投标供应商资格，该投标供应商将记入不良记录</w:t>
      </w:r>
      <w:r>
        <w:rPr>
          <w:rFonts w:hint="eastAsia" w:ascii="宋体" w:hAnsi="宋体" w:cs="宋体"/>
          <w:b/>
          <w:bCs/>
          <w:color w:val="auto"/>
          <w:kern w:val="0"/>
          <w:sz w:val="24"/>
          <w:szCs w:val="24"/>
          <w:highlight w:val="none"/>
          <w:lang w:eastAsia="zh-CN"/>
        </w:rPr>
        <w:t>。</w:t>
      </w:r>
      <w:r>
        <w:rPr>
          <w:rFonts w:hint="eastAsia" w:ascii="宋体" w:hAnsi="宋体" w:cs="宋体"/>
          <w:b/>
          <w:bCs/>
          <w:color w:val="auto"/>
          <w:kern w:val="0"/>
          <w:sz w:val="24"/>
          <w:szCs w:val="24"/>
          <w:highlight w:val="none"/>
        </w:rPr>
        <w:t>。</w:t>
      </w:r>
    </w:p>
    <w:p>
      <w:pPr>
        <w:widowControl/>
        <w:snapToGrid w:val="0"/>
        <w:spacing w:line="360" w:lineRule="auto"/>
        <w:ind w:firstLine="472" w:firstLineChars="196"/>
        <w:jc w:val="left"/>
        <w:rPr>
          <w:rFonts w:ascii="宋体" w:hAnsi="宋体" w:cs="宋体"/>
          <w:b/>
          <w:bCs/>
          <w:color w:val="auto"/>
          <w:kern w:val="0"/>
          <w:sz w:val="24"/>
          <w:szCs w:val="24"/>
          <w:highlight w:val="none"/>
        </w:rPr>
      </w:pPr>
      <w:r>
        <w:rPr>
          <w:rFonts w:hint="eastAsia" w:ascii="宋体" w:hAnsi="宋体" w:cs="宋体"/>
          <w:b/>
          <w:bCs/>
          <w:color w:val="auto"/>
          <w:kern w:val="0"/>
          <w:sz w:val="24"/>
          <w:szCs w:val="24"/>
          <w:highlight w:val="none"/>
        </w:rPr>
        <w:t>非采购人原因成交供应商放弃成交资格的，报</w:t>
      </w:r>
      <w:r>
        <w:rPr>
          <w:rFonts w:hint="eastAsia" w:ascii="宋体" w:hAnsi="宋体" w:cs="宋体"/>
          <w:b/>
          <w:bCs/>
          <w:color w:val="auto"/>
          <w:kern w:val="0"/>
          <w:sz w:val="24"/>
          <w:szCs w:val="24"/>
          <w:highlight w:val="none"/>
          <w:lang w:val="en-US" w:eastAsia="zh-CN"/>
        </w:rPr>
        <w:t>上级部门</w:t>
      </w:r>
      <w:r>
        <w:rPr>
          <w:rFonts w:hint="eastAsia" w:ascii="宋体" w:hAnsi="宋体" w:cs="宋体"/>
          <w:b/>
          <w:bCs/>
          <w:color w:val="auto"/>
          <w:kern w:val="0"/>
          <w:sz w:val="24"/>
          <w:szCs w:val="24"/>
          <w:highlight w:val="none"/>
        </w:rPr>
        <w:t>将其列入采购黑名单。</w:t>
      </w:r>
    </w:p>
    <w:p>
      <w:pPr>
        <w:pStyle w:val="2"/>
        <w:spacing w:line="360" w:lineRule="auto"/>
        <w:ind w:firstLine="480"/>
        <w:rPr>
          <w:rFonts w:ascii="宋体" w:hAnsi="宋体" w:cs="宋体"/>
          <w:color w:val="auto"/>
          <w:szCs w:val="24"/>
          <w:highlight w:val="none"/>
        </w:rPr>
      </w:pPr>
      <w:r>
        <w:rPr>
          <w:rFonts w:hint="eastAsia" w:ascii="宋体" w:hAnsi="宋体" w:cs="宋体"/>
          <w:color w:val="auto"/>
          <w:szCs w:val="24"/>
          <w:highlight w:val="none"/>
        </w:rPr>
        <w:t>【特别提醒】单位负责人为同一人或者存在直接控股、管理关系的不同供应商，不得同时参与同一采购项目相同标段的采购活动；为采购项目提供整体设计、规范编制或者项目管理、监理、检测等服务的供应商，不得再参加该采购项目的其他采购活动；如发现投标供应商递交的资格后审材料有弄虚作假行为，该投标供应商将记入不良记录，并上报有关部门，如已成交，采购人有权取消其</w:t>
      </w:r>
      <w:r>
        <w:rPr>
          <w:rFonts w:hint="eastAsia" w:ascii="宋体" w:hAnsi="宋体" w:cs="宋体"/>
          <w:color w:val="auto"/>
          <w:kern w:val="0"/>
          <w:szCs w:val="24"/>
          <w:highlight w:val="none"/>
        </w:rPr>
        <w:t>成交</w:t>
      </w:r>
      <w:r>
        <w:rPr>
          <w:rFonts w:hint="eastAsia" w:ascii="宋体" w:hAnsi="宋体" w:cs="宋体"/>
          <w:color w:val="auto"/>
          <w:szCs w:val="24"/>
          <w:highlight w:val="none"/>
        </w:rPr>
        <w:t>资格，并由该投标供应商承担由此带来可能的一切责任和损失。</w:t>
      </w:r>
    </w:p>
    <w:p>
      <w:pPr>
        <w:snapToGrid w:val="0"/>
        <w:spacing w:line="360" w:lineRule="auto"/>
        <w:ind w:firstLine="482" w:firstLineChars="200"/>
        <w:contextualSpacing/>
        <w:rPr>
          <w:rFonts w:ascii="宋体" w:hAnsi="宋体" w:cs="宋体"/>
          <w:b/>
          <w:bCs/>
          <w:color w:val="auto"/>
          <w:sz w:val="24"/>
          <w:szCs w:val="24"/>
          <w:highlight w:val="yellow"/>
        </w:rPr>
      </w:pPr>
      <w:r>
        <w:rPr>
          <w:rFonts w:hint="eastAsia" w:ascii="宋体" w:hAnsi="宋体" w:cs="宋体"/>
          <w:b/>
          <w:bCs/>
          <w:color w:val="auto"/>
          <w:sz w:val="24"/>
          <w:szCs w:val="24"/>
          <w:highlight w:val="none"/>
        </w:rPr>
        <w:t>三、获取采购文件</w:t>
      </w:r>
    </w:p>
    <w:p>
      <w:pPr>
        <w:widowControl/>
        <w:snapToGrid w:val="0"/>
        <w:spacing w:line="360" w:lineRule="auto"/>
        <w:ind w:firstLine="480" w:firstLineChars="200"/>
        <w:jc w:val="left"/>
        <w:rPr>
          <w:rFonts w:hint="eastAsia" w:ascii="宋体" w:hAnsi="宋体" w:cs="宋体"/>
          <w:color w:val="auto"/>
          <w:sz w:val="24"/>
          <w:szCs w:val="24"/>
          <w:highlight w:val="none"/>
        </w:rPr>
      </w:pPr>
      <w:bookmarkStart w:id="26" w:name="_Toc28359092"/>
      <w:bookmarkStart w:id="27" w:name="_Toc35393632"/>
      <w:bookmarkStart w:id="28" w:name="_Toc28359015"/>
      <w:bookmarkStart w:id="29" w:name="_Toc35393801"/>
      <w:r>
        <w:rPr>
          <w:rFonts w:hint="eastAsia" w:ascii="宋体" w:hAnsi="宋体" w:cs="宋体"/>
          <w:color w:val="auto"/>
          <w:sz w:val="24"/>
          <w:szCs w:val="24"/>
          <w:highlight w:val="none"/>
          <w:lang w:eastAsia="zh-CN"/>
        </w:rPr>
        <w:t>1.</w:t>
      </w:r>
      <w:r>
        <w:rPr>
          <w:rFonts w:hint="eastAsia" w:ascii="宋体" w:hAnsi="宋体" w:cs="宋体"/>
          <w:color w:val="auto"/>
          <w:sz w:val="24"/>
          <w:szCs w:val="24"/>
          <w:highlight w:val="none"/>
        </w:rPr>
        <w:t>时间：202</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日至202</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日，每天上午9:30至11:30，下午14:00至17:00（北京时间，法定节假日除外），202</w:t>
      </w: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年</w:t>
      </w:r>
      <w:r>
        <w:rPr>
          <w:rFonts w:hint="eastAsia" w:ascii="宋体" w:hAnsi="宋体" w:cs="宋体"/>
          <w:color w:val="auto"/>
          <w:sz w:val="24"/>
          <w:szCs w:val="24"/>
          <w:highlight w:val="none"/>
          <w:lang w:val="en-US" w:eastAsia="zh-CN"/>
        </w:rPr>
        <w:t>11</w:t>
      </w:r>
      <w:r>
        <w:rPr>
          <w:rFonts w:hint="eastAsia" w:ascii="宋体" w:hAnsi="宋体" w:cs="宋体"/>
          <w:color w:val="auto"/>
          <w:sz w:val="24"/>
          <w:szCs w:val="24"/>
          <w:highlight w:val="none"/>
        </w:rPr>
        <w:t>月</w:t>
      </w:r>
      <w:r>
        <w:rPr>
          <w:rFonts w:hint="eastAsia" w:ascii="宋体" w:hAnsi="宋体" w:cs="宋体"/>
          <w:color w:val="auto"/>
          <w:sz w:val="24"/>
          <w:szCs w:val="24"/>
          <w:highlight w:val="none"/>
          <w:lang w:val="en-US" w:eastAsia="zh-CN"/>
        </w:rPr>
        <w:t>9</w:t>
      </w:r>
      <w:r>
        <w:rPr>
          <w:rFonts w:hint="eastAsia" w:ascii="宋体" w:hAnsi="宋体" w:cs="宋体"/>
          <w:color w:val="auto"/>
          <w:sz w:val="24"/>
          <w:szCs w:val="24"/>
          <w:highlight w:val="none"/>
        </w:rPr>
        <w:t>日17:00后不再发售磋商文件。</w:t>
      </w:r>
    </w:p>
    <w:p>
      <w:pPr>
        <w:widowControl/>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cs="宋体"/>
          <w:color w:val="auto"/>
          <w:sz w:val="24"/>
          <w:szCs w:val="24"/>
          <w:highlight w:val="none"/>
        </w:rPr>
        <w:t>地点：南通市崇川区青年中路153号4号楼213室</w:t>
      </w:r>
    </w:p>
    <w:p>
      <w:pPr>
        <w:widowControl/>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cs="宋体"/>
          <w:color w:val="auto"/>
          <w:sz w:val="24"/>
          <w:szCs w:val="24"/>
          <w:highlight w:val="none"/>
        </w:rPr>
        <w:t>方式：现场</w:t>
      </w:r>
      <w:r>
        <w:rPr>
          <w:rFonts w:hint="eastAsia" w:ascii="宋体" w:hAnsi="宋体" w:cs="宋体"/>
          <w:color w:val="auto"/>
          <w:sz w:val="24"/>
          <w:szCs w:val="24"/>
          <w:highlight w:val="none"/>
          <w:lang w:val="en-US" w:eastAsia="zh-CN"/>
        </w:rPr>
        <w:t>领取</w:t>
      </w:r>
      <w:r>
        <w:rPr>
          <w:rFonts w:hint="eastAsia" w:ascii="宋体" w:hAnsi="宋体" w:cs="宋体"/>
          <w:color w:val="auto"/>
          <w:sz w:val="24"/>
          <w:szCs w:val="24"/>
          <w:highlight w:val="none"/>
        </w:rPr>
        <w:t>（或联系代理公司工作人员办理，联系电话17778751998）</w:t>
      </w:r>
    </w:p>
    <w:p>
      <w:pPr>
        <w:widowControl/>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cs="宋体"/>
          <w:color w:val="auto"/>
          <w:sz w:val="24"/>
          <w:szCs w:val="24"/>
          <w:highlight w:val="none"/>
        </w:rPr>
        <w:t>售价：每份300元，售后不退。</w:t>
      </w:r>
    </w:p>
    <w:p>
      <w:pPr>
        <w:widowControl/>
        <w:snapToGrid w:val="0"/>
        <w:spacing w:line="360" w:lineRule="auto"/>
        <w:ind w:firstLine="480" w:firstLineChars="200"/>
        <w:jc w:val="left"/>
        <w:rPr>
          <w:rFonts w:hint="eastAsia" w:ascii="宋体" w:hAns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有关本次招标的事项若存在变动或修改，敬请及时关注“</w:t>
      </w:r>
      <w:r>
        <w:rPr>
          <w:rFonts w:hint="eastAsia" w:ascii="宋体" w:hAnsi="宋体" w:cs="宋体"/>
          <w:b/>
          <w:bCs/>
          <w:color w:val="auto"/>
          <w:sz w:val="24"/>
          <w:szCs w:val="24"/>
          <w:highlight w:val="none"/>
          <w:lang w:eastAsia="zh-CN"/>
        </w:rPr>
        <w:t>南通市第三人民医院官网</w:t>
      </w:r>
      <w:r>
        <w:rPr>
          <w:rFonts w:hint="eastAsia" w:ascii="宋体" w:hAnsi="宋体" w:cs="宋体"/>
          <w:color w:val="auto"/>
          <w:sz w:val="24"/>
          <w:szCs w:val="24"/>
          <w:highlight w:val="none"/>
        </w:rPr>
        <w:t>”发布的信息更正公告，恕不另行通知，如有遗漏招标采购单位概不负责。</w:t>
      </w:r>
    </w:p>
    <w:p>
      <w:pPr>
        <w:pStyle w:val="6"/>
        <w:spacing w:before="0" w:after="0" w:line="360" w:lineRule="auto"/>
        <w:ind w:firstLine="482" w:firstLineChars="200"/>
        <w:rPr>
          <w:rFonts w:ascii="宋体" w:hAnsi="宋体" w:eastAsia="宋体" w:cs="宋体"/>
          <w:color w:val="auto"/>
          <w:sz w:val="24"/>
          <w:szCs w:val="24"/>
          <w:highlight w:val="none"/>
        </w:rPr>
      </w:pPr>
      <w:r>
        <w:rPr>
          <w:rFonts w:hint="eastAsia" w:ascii="宋体" w:hAnsi="宋体" w:eastAsia="宋体" w:cs="宋体"/>
          <w:color w:val="auto"/>
          <w:sz w:val="24"/>
          <w:szCs w:val="24"/>
          <w:highlight w:val="none"/>
        </w:rPr>
        <w:t>四、响应文件提交</w:t>
      </w:r>
      <w:bookmarkEnd w:id="26"/>
      <w:bookmarkEnd w:id="27"/>
      <w:bookmarkEnd w:id="28"/>
      <w:bookmarkEnd w:id="29"/>
    </w:p>
    <w:p>
      <w:pPr>
        <w:snapToGrid w:val="0"/>
        <w:spacing w:line="360" w:lineRule="auto"/>
        <w:ind w:firstLine="480" w:firstLineChars="200"/>
        <w:outlineLvl w:val="1"/>
        <w:rPr>
          <w:rFonts w:ascii="宋体" w:hAnsi="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cs="宋体"/>
          <w:color w:val="auto"/>
          <w:kern w:val="0"/>
          <w:sz w:val="24"/>
          <w:szCs w:val="24"/>
          <w:highlight w:val="none"/>
        </w:rPr>
        <w:t>竞争性磋商响应文件接收截止及评审开始时间</w:t>
      </w:r>
      <w:r>
        <w:rPr>
          <w:rFonts w:hint="eastAsia" w:ascii="宋体" w:hAnsi="宋体" w:cs="宋体"/>
          <w:b/>
          <w:bCs/>
          <w:color w:val="auto"/>
          <w:kern w:val="0"/>
          <w:sz w:val="24"/>
          <w:szCs w:val="24"/>
          <w:highlight w:val="none"/>
        </w:rPr>
        <w:t>：</w:t>
      </w:r>
      <w:r>
        <w:rPr>
          <w:rFonts w:hint="eastAsia" w:ascii="宋体" w:hAnsi="宋体" w:cs="宋体"/>
          <w:b/>
          <w:bCs/>
          <w:color w:val="auto"/>
          <w:sz w:val="24"/>
          <w:szCs w:val="24"/>
          <w:highlight w:val="none"/>
        </w:rPr>
        <w:t>2021年</w:t>
      </w:r>
      <w:r>
        <w:rPr>
          <w:rFonts w:hint="eastAsia" w:ascii="宋体" w:hAnsi="宋体" w:cs="宋体"/>
          <w:b/>
          <w:bCs/>
          <w:color w:val="auto"/>
          <w:sz w:val="24"/>
          <w:szCs w:val="24"/>
          <w:highlight w:val="none"/>
          <w:lang w:val="en-US" w:eastAsia="zh-CN"/>
        </w:rPr>
        <w:t>11</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lang w:val="en-US" w:eastAsia="zh-CN"/>
        </w:rPr>
        <w:t>13</w:t>
      </w:r>
      <w:r>
        <w:rPr>
          <w:rFonts w:hint="eastAsia" w:ascii="宋体" w:hAnsi="宋体" w:cs="宋体"/>
          <w:b/>
          <w:bCs/>
          <w:color w:val="auto"/>
          <w:sz w:val="24"/>
          <w:szCs w:val="24"/>
          <w:highlight w:val="none"/>
        </w:rPr>
        <w:t>日</w:t>
      </w:r>
      <w:r>
        <w:rPr>
          <w:rFonts w:hint="eastAsia" w:ascii="宋体" w:hAnsi="宋体" w:cs="宋体"/>
          <w:b/>
          <w:bCs/>
          <w:color w:val="auto"/>
          <w:sz w:val="24"/>
          <w:szCs w:val="24"/>
          <w:highlight w:val="none"/>
          <w:lang w:val="en-US" w:eastAsia="zh-CN"/>
        </w:rPr>
        <w:t>09</w:t>
      </w:r>
      <w:r>
        <w:rPr>
          <w:rFonts w:hint="eastAsia" w:ascii="宋体" w:hAnsi="宋体" w:cs="宋体"/>
          <w:b/>
          <w:bCs/>
          <w:color w:val="auto"/>
          <w:sz w:val="24"/>
          <w:szCs w:val="24"/>
          <w:highlight w:val="none"/>
        </w:rPr>
        <w:t>时</w:t>
      </w:r>
      <w:r>
        <w:rPr>
          <w:rFonts w:hint="eastAsia" w:ascii="宋体" w:hAnsi="宋体" w:cs="宋体"/>
          <w:b/>
          <w:bCs/>
          <w:color w:val="auto"/>
          <w:sz w:val="24"/>
          <w:szCs w:val="24"/>
          <w:highlight w:val="none"/>
          <w:lang w:val="en-US" w:eastAsia="zh-CN"/>
        </w:rPr>
        <w:t>30</w:t>
      </w:r>
      <w:r>
        <w:rPr>
          <w:rFonts w:hint="eastAsia" w:ascii="宋体" w:hAnsi="宋体" w:cs="宋体"/>
          <w:b/>
          <w:bCs/>
          <w:color w:val="auto"/>
          <w:sz w:val="24"/>
          <w:szCs w:val="24"/>
          <w:highlight w:val="none"/>
        </w:rPr>
        <w:t>分</w:t>
      </w:r>
      <w:r>
        <w:rPr>
          <w:rFonts w:hint="eastAsia" w:ascii="宋体" w:hAnsi="宋体" w:cs="宋体"/>
          <w:color w:val="auto"/>
          <w:sz w:val="24"/>
          <w:szCs w:val="24"/>
          <w:highlight w:val="none"/>
        </w:rPr>
        <w:t>（北京时间）</w:t>
      </w:r>
    </w:p>
    <w:p>
      <w:pPr>
        <w:autoSpaceDE w:val="0"/>
        <w:autoSpaceDN w:val="0"/>
        <w:adjustRightIn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cs="宋体"/>
          <w:color w:val="auto"/>
          <w:sz w:val="24"/>
          <w:szCs w:val="24"/>
          <w:highlight w:val="none"/>
        </w:rPr>
        <w:t>竞争性磋商响应文件递交地址：</w:t>
      </w:r>
      <w:r>
        <w:rPr>
          <w:rFonts w:hint="eastAsia" w:ascii="宋体" w:hAnsi="宋体" w:cs="宋体"/>
          <w:color w:val="auto"/>
          <w:sz w:val="24"/>
          <w:szCs w:val="24"/>
          <w:highlight w:val="none"/>
          <w:lang w:eastAsia="zh-CN"/>
        </w:rPr>
        <w:t>南通市崇川区青年中路153号4号楼211室</w:t>
      </w:r>
      <w:r>
        <w:rPr>
          <w:rFonts w:hint="eastAsia" w:ascii="宋体" w:hAnsi="宋体" w:cs="宋体"/>
          <w:color w:val="auto"/>
          <w:sz w:val="24"/>
          <w:szCs w:val="24"/>
          <w:highlight w:val="none"/>
        </w:rPr>
        <w:t>，如有变动另行通知。</w:t>
      </w:r>
    </w:p>
    <w:p>
      <w:pPr>
        <w:snapToGrid w:val="0"/>
        <w:spacing w:line="360" w:lineRule="auto"/>
        <w:ind w:firstLine="482" w:firstLineChars="200"/>
        <w:outlineLvl w:val="1"/>
        <w:rPr>
          <w:rFonts w:ascii="宋体" w:hAnsi="宋体" w:cs="宋体"/>
          <w:b/>
          <w:bCs/>
          <w:color w:val="auto"/>
          <w:sz w:val="24"/>
          <w:szCs w:val="24"/>
          <w:highlight w:val="none"/>
        </w:rPr>
      </w:pPr>
      <w:r>
        <w:rPr>
          <w:rFonts w:hint="eastAsia" w:ascii="宋体" w:hAnsi="宋体" w:cs="宋体"/>
          <w:b/>
          <w:bCs/>
          <w:color w:val="auto"/>
          <w:sz w:val="24"/>
          <w:szCs w:val="24"/>
          <w:highlight w:val="none"/>
        </w:rPr>
        <w:t>五、开启</w:t>
      </w:r>
    </w:p>
    <w:p>
      <w:pPr>
        <w:snapToGrid w:val="0"/>
        <w:spacing w:line="360" w:lineRule="auto"/>
        <w:ind w:firstLine="480" w:firstLineChars="200"/>
        <w:outlineLvl w:val="1"/>
        <w:rPr>
          <w:rFonts w:ascii="宋体" w:hAnsi="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cs="宋体"/>
          <w:color w:val="auto"/>
          <w:kern w:val="0"/>
          <w:sz w:val="24"/>
          <w:szCs w:val="24"/>
          <w:highlight w:val="none"/>
        </w:rPr>
        <w:t>竞争性磋商</w:t>
      </w:r>
      <w:r>
        <w:rPr>
          <w:rFonts w:hint="eastAsia" w:ascii="宋体" w:hAnsi="宋体" w:cs="宋体"/>
          <w:color w:val="auto"/>
          <w:sz w:val="24"/>
          <w:szCs w:val="24"/>
          <w:highlight w:val="none"/>
        </w:rPr>
        <w:t>响应文件开启时间：</w:t>
      </w:r>
      <w:r>
        <w:rPr>
          <w:rFonts w:hint="eastAsia" w:ascii="宋体" w:hAnsi="宋体" w:cs="宋体"/>
          <w:b/>
          <w:bCs/>
          <w:color w:val="auto"/>
          <w:sz w:val="24"/>
          <w:szCs w:val="24"/>
          <w:highlight w:val="none"/>
        </w:rPr>
        <w:t>2021年</w:t>
      </w:r>
      <w:r>
        <w:rPr>
          <w:rFonts w:hint="eastAsia" w:ascii="宋体" w:hAnsi="宋体" w:cs="宋体"/>
          <w:b/>
          <w:bCs/>
          <w:color w:val="auto"/>
          <w:sz w:val="24"/>
          <w:szCs w:val="24"/>
          <w:highlight w:val="none"/>
          <w:lang w:val="en-US" w:eastAsia="zh-CN"/>
        </w:rPr>
        <w:t>11</w:t>
      </w:r>
      <w:r>
        <w:rPr>
          <w:rFonts w:hint="eastAsia" w:ascii="宋体" w:hAnsi="宋体" w:cs="宋体"/>
          <w:b/>
          <w:bCs/>
          <w:color w:val="auto"/>
          <w:sz w:val="24"/>
          <w:szCs w:val="24"/>
          <w:highlight w:val="none"/>
        </w:rPr>
        <w:t>月</w:t>
      </w:r>
      <w:r>
        <w:rPr>
          <w:rFonts w:hint="eastAsia" w:ascii="宋体" w:hAnsi="宋体" w:cs="宋体"/>
          <w:b/>
          <w:bCs/>
          <w:color w:val="auto"/>
          <w:sz w:val="24"/>
          <w:szCs w:val="24"/>
          <w:highlight w:val="none"/>
          <w:lang w:val="en-US" w:eastAsia="zh-CN"/>
        </w:rPr>
        <w:t>13</w:t>
      </w:r>
      <w:r>
        <w:rPr>
          <w:rFonts w:hint="eastAsia" w:ascii="宋体" w:hAnsi="宋体" w:cs="宋体"/>
          <w:b/>
          <w:bCs/>
          <w:color w:val="auto"/>
          <w:sz w:val="24"/>
          <w:szCs w:val="24"/>
          <w:highlight w:val="none"/>
        </w:rPr>
        <w:t>日</w:t>
      </w:r>
      <w:r>
        <w:rPr>
          <w:rFonts w:hint="eastAsia" w:ascii="宋体" w:hAnsi="宋体" w:cs="宋体"/>
          <w:b/>
          <w:bCs/>
          <w:color w:val="auto"/>
          <w:sz w:val="24"/>
          <w:szCs w:val="24"/>
          <w:highlight w:val="none"/>
          <w:lang w:val="en-US" w:eastAsia="zh-CN"/>
        </w:rPr>
        <w:t>09</w:t>
      </w:r>
      <w:r>
        <w:rPr>
          <w:rFonts w:hint="eastAsia" w:ascii="宋体" w:hAnsi="宋体" w:cs="宋体"/>
          <w:b/>
          <w:bCs/>
          <w:color w:val="auto"/>
          <w:sz w:val="24"/>
          <w:szCs w:val="24"/>
          <w:highlight w:val="none"/>
        </w:rPr>
        <w:t>时</w:t>
      </w:r>
      <w:r>
        <w:rPr>
          <w:rFonts w:hint="eastAsia" w:ascii="宋体" w:hAnsi="宋体" w:cs="宋体"/>
          <w:b/>
          <w:bCs/>
          <w:color w:val="auto"/>
          <w:sz w:val="24"/>
          <w:szCs w:val="24"/>
          <w:highlight w:val="none"/>
          <w:lang w:val="en-US" w:eastAsia="zh-CN"/>
        </w:rPr>
        <w:t>30</w:t>
      </w:r>
      <w:r>
        <w:rPr>
          <w:rFonts w:hint="eastAsia" w:ascii="宋体" w:hAnsi="宋体" w:cs="宋体"/>
          <w:b/>
          <w:bCs/>
          <w:color w:val="auto"/>
          <w:sz w:val="24"/>
          <w:szCs w:val="24"/>
          <w:highlight w:val="none"/>
        </w:rPr>
        <w:t>分</w:t>
      </w:r>
      <w:r>
        <w:rPr>
          <w:rFonts w:hint="eastAsia" w:ascii="宋体" w:hAnsi="宋体" w:cs="宋体"/>
          <w:color w:val="auto"/>
          <w:sz w:val="24"/>
          <w:szCs w:val="24"/>
          <w:highlight w:val="none"/>
        </w:rPr>
        <w:t>（北京时间）</w:t>
      </w:r>
    </w:p>
    <w:p>
      <w:pPr>
        <w:snapToGrid w:val="0"/>
        <w:spacing w:line="360" w:lineRule="auto"/>
        <w:ind w:firstLine="480" w:firstLineChars="200"/>
        <w:outlineLvl w:val="1"/>
        <w:rPr>
          <w:rFonts w:ascii="宋体" w:hAnsi="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cs="宋体"/>
          <w:color w:val="auto"/>
          <w:kern w:val="0"/>
          <w:sz w:val="24"/>
          <w:szCs w:val="24"/>
          <w:highlight w:val="none"/>
        </w:rPr>
        <w:t>竞争性磋商</w:t>
      </w:r>
      <w:r>
        <w:rPr>
          <w:rFonts w:hint="eastAsia" w:ascii="宋体" w:hAnsi="宋体" w:cs="宋体"/>
          <w:color w:val="auto"/>
          <w:sz w:val="24"/>
          <w:szCs w:val="24"/>
          <w:highlight w:val="none"/>
        </w:rPr>
        <w:t>响应文件开启地点：</w:t>
      </w:r>
      <w:r>
        <w:rPr>
          <w:rFonts w:hint="eastAsia" w:ascii="宋体" w:hAnsi="宋体" w:cs="宋体"/>
          <w:color w:val="auto"/>
          <w:sz w:val="24"/>
          <w:szCs w:val="24"/>
          <w:highlight w:val="none"/>
          <w:lang w:eastAsia="zh-CN"/>
        </w:rPr>
        <w:t>南通市崇川区青年中路153号4号楼211室</w:t>
      </w:r>
      <w:r>
        <w:rPr>
          <w:rFonts w:hint="eastAsia" w:ascii="宋体" w:hAnsi="宋体" w:cs="宋体"/>
          <w:color w:val="auto"/>
          <w:sz w:val="24"/>
          <w:szCs w:val="24"/>
          <w:highlight w:val="none"/>
        </w:rPr>
        <w:t>，如有变动另行通知。</w:t>
      </w:r>
    </w:p>
    <w:p>
      <w:pPr>
        <w:widowControl/>
        <w:spacing w:after="75" w:line="525" w:lineRule="atLeast"/>
        <w:ind w:firstLine="480"/>
        <w:jc w:val="left"/>
        <w:rPr>
          <w:rFonts w:hint="eastAsia" w:ascii="宋体" w:hAnsi="宋体" w:cs="宋体"/>
          <w:color w:val="auto"/>
          <w:sz w:val="24"/>
          <w:szCs w:val="24"/>
          <w:highlight w:val="none"/>
        </w:rPr>
      </w:pPr>
      <w:r>
        <w:rPr>
          <w:rFonts w:hint="eastAsia" w:ascii="宋体" w:hAnsi="宋体" w:cs="宋体"/>
          <w:b/>
          <w:bCs/>
          <w:color w:val="auto"/>
          <w:sz w:val="24"/>
          <w:szCs w:val="24"/>
          <w:highlight w:val="none"/>
        </w:rPr>
        <w:t>六、公告期限：</w:t>
      </w:r>
      <w:r>
        <w:rPr>
          <w:rFonts w:hint="eastAsia" w:ascii="宋体" w:hAnsi="宋体" w:cs="宋体"/>
          <w:color w:val="auto"/>
          <w:sz w:val="24"/>
          <w:szCs w:val="24"/>
          <w:highlight w:val="none"/>
        </w:rPr>
        <w:t>自本公告发布之日起3个工作日。</w:t>
      </w:r>
    </w:p>
    <w:p>
      <w:pPr>
        <w:spacing w:line="360" w:lineRule="auto"/>
        <w:ind w:firstLine="482" w:firstLineChars="200"/>
        <w:rPr>
          <w:rFonts w:ascii="宋体" w:hAnsi="宋体" w:cs="宋体"/>
          <w:b/>
          <w:bCs/>
          <w:color w:val="auto"/>
          <w:sz w:val="24"/>
          <w:szCs w:val="24"/>
          <w:highlight w:val="none"/>
        </w:rPr>
      </w:pPr>
      <w:r>
        <w:rPr>
          <w:rFonts w:hint="eastAsia" w:ascii="宋体" w:hAnsi="宋体" w:cs="宋体"/>
          <w:b/>
          <w:bCs/>
          <w:color w:val="auto"/>
          <w:sz w:val="24"/>
          <w:szCs w:val="24"/>
          <w:highlight w:val="none"/>
        </w:rPr>
        <w:t>七、凡对本次采购提出询问，请按以下方式联系</w:t>
      </w:r>
    </w:p>
    <w:p>
      <w:pPr>
        <w:numPr>
          <w:ilvl w:val="0"/>
          <w:numId w:val="0"/>
        </w:num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采购人信息</w:t>
      </w:r>
    </w:p>
    <w:p>
      <w:p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名称：南通市第三人民医院</w:t>
      </w:r>
    </w:p>
    <w:p>
      <w:p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地址：</w:t>
      </w:r>
      <w:r>
        <w:rPr>
          <w:rFonts w:hint="default" w:ascii="宋体" w:hAnsi="宋体" w:cs="宋体"/>
          <w:color w:val="auto"/>
          <w:sz w:val="24"/>
          <w:szCs w:val="24"/>
          <w:highlight w:val="none"/>
          <w:lang w:val="en-US" w:eastAsia="zh-CN"/>
        </w:rPr>
        <w:t>南通市崇川区青年中路99号</w:t>
      </w:r>
    </w:p>
    <w:p>
      <w:pPr>
        <w:spacing w:line="360" w:lineRule="auto"/>
        <w:ind w:firstLine="480" w:firstLineChars="200"/>
        <w:rPr>
          <w:rFonts w:hint="eastAsia" w:ascii="宋体" w:hAnsi="宋体" w:cs="宋体"/>
          <w:color w:val="auto"/>
          <w:sz w:val="24"/>
          <w:szCs w:val="24"/>
          <w:highlight w:val="none"/>
          <w:lang w:eastAsia="zh-CN"/>
        </w:rPr>
      </w:pPr>
      <w:r>
        <w:rPr>
          <w:rFonts w:hint="eastAsia" w:ascii="宋体" w:hAnsi="宋体" w:cs="宋体"/>
          <w:color w:val="auto"/>
          <w:sz w:val="24"/>
          <w:szCs w:val="24"/>
          <w:highlight w:val="none"/>
          <w:lang w:eastAsia="zh-CN"/>
        </w:rPr>
        <w:t>联系电话：0513-89093929</w:t>
      </w:r>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lang w:eastAsia="zh-CN"/>
        </w:rPr>
        <w:t xml:space="preserve"> </w:t>
      </w:r>
    </w:p>
    <w:p>
      <w:pPr>
        <w:spacing w:line="360" w:lineRule="auto"/>
        <w:ind w:left="420" w:leftChars="200"/>
        <w:rPr>
          <w:rFonts w:ascii="宋体" w:hAnsi="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cs="宋体"/>
          <w:color w:val="auto"/>
          <w:sz w:val="24"/>
          <w:szCs w:val="24"/>
          <w:highlight w:val="none"/>
        </w:rPr>
        <w:t>采购代理机构信息</w:t>
      </w:r>
    </w:p>
    <w:p>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名称：江苏正扬招标代理</w:t>
      </w:r>
      <w:r>
        <w:rPr>
          <w:rFonts w:hint="eastAsia" w:ascii="宋体" w:hAnsi="宋体" w:cs="宋体"/>
          <w:color w:val="auto"/>
          <w:sz w:val="24"/>
          <w:szCs w:val="24"/>
          <w:highlight w:val="none"/>
          <w:lang w:eastAsia="zh-CN"/>
        </w:rPr>
        <w:t>有限公司</w:t>
      </w:r>
    </w:p>
    <w:p>
      <w:pPr>
        <w:spacing w:line="360" w:lineRule="auto"/>
        <w:ind w:left="420" w:leftChars="200"/>
        <w:rPr>
          <w:rFonts w:hint="eastAsia" w:ascii="宋体" w:hAnsi="宋体" w:cs="宋体"/>
          <w:color w:val="auto"/>
          <w:sz w:val="24"/>
          <w:szCs w:val="24"/>
          <w:highlight w:val="none"/>
        </w:rPr>
      </w:pPr>
      <w:r>
        <w:rPr>
          <w:rFonts w:hint="eastAsia" w:ascii="宋体" w:hAnsi="宋体" w:cs="宋体"/>
          <w:color w:val="auto"/>
          <w:sz w:val="24"/>
          <w:szCs w:val="24"/>
          <w:highlight w:val="none"/>
        </w:rPr>
        <w:t>地址：南通市崇川区青年中路153号4号楼213室</w:t>
      </w:r>
    </w:p>
    <w:p>
      <w:pPr>
        <w:spacing w:line="360" w:lineRule="auto"/>
        <w:ind w:left="420" w:leftChars="200"/>
        <w:rPr>
          <w:rFonts w:hint="eastAsia" w:ascii="宋体" w:hAnsi="宋体" w:cs="宋体"/>
          <w:color w:val="auto"/>
          <w:sz w:val="24"/>
          <w:szCs w:val="24"/>
          <w:highlight w:val="none"/>
        </w:rPr>
      </w:pPr>
      <w:r>
        <w:rPr>
          <w:rFonts w:hint="eastAsia" w:ascii="宋体" w:hAnsi="宋体" w:cs="宋体"/>
          <w:color w:val="auto"/>
          <w:sz w:val="24"/>
          <w:szCs w:val="24"/>
          <w:highlight w:val="none"/>
        </w:rPr>
        <w:t xml:space="preserve">联系人：李艳梅     </w:t>
      </w:r>
    </w:p>
    <w:p>
      <w:pPr>
        <w:spacing w:line="360" w:lineRule="auto"/>
        <w:ind w:left="420" w:leftChars="200"/>
        <w:rPr>
          <w:rFonts w:hint="eastAsia" w:ascii="宋体" w:hAnsi="宋体" w:cs="宋体"/>
          <w:color w:val="auto"/>
          <w:sz w:val="24"/>
          <w:szCs w:val="24"/>
          <w:highlight w:val="none"/>
        </w:rPr>
      </w:pPr>
      <w:r>
        <w:rPr>
          <w:rFonts w:hint="eastAsia" w:ascii="宋体" w:hAnsi="宋体" w:cs="宋体"/>
          <w:color w:val="auto"/>
          <w:sz w:val="24"/>
          <w:szCs w:val="24"/>
          <w:highlight w:val="none"/>
        </w:rPr>
        <w:t>联系电话：17778751998</w:t>
      </w:r>
    </w:p>
    <w:p>
      <w:pPr>
        <w:spacing w:line="360" w:lineRule="auto"/>
        <w:ind w:left="420" w:leftChars="200"/>
        <w:rPr>
          <w:rFonts w:hint="eastAsia" w:ascii="宋体" w:hAnsi="宋体" w:cs="宋体"/>
          <w:color w:val="auto"/>
          <w:sz w:val="24"/>
          <w:szCs w:val="24"/>
          <w:highlight w:val="none"/>
        </w:rPr>
      </w:pPr>
      <w:r>
        <w:rPr>
          <w:rFonts w:hint="eastAsia" w:ascii="宋体" w:hAnsi="宋体" w:cs="宋体"/>
          <w:color w:val="auto"/>
          <w:sz w:val="24"/>
          <w:szCs w:val="24"/>
          <w:highlight w:val="none"/>
        </w:rPr>
        <w:t>邮箱号码：1205007749@qq.com</w:t>
      </w:r>
    </w:p>
    <w:p>
      <w:pPr>
        <w:spacing w:line="360" w:lineRule="auto"/>
        <w:ind w:left="420" w:leftChars="200"/>
        <w:rPr>
          <w:rFonts w:hint="eastAsia" w:ascii="宋体" w:hAnsi="宋体" w:cs="宋体"/>
          <w:color w:val="auto"/>
          <w:sz w:val="24"/>
          <w:szCs w:val="24"/>
          <w:highlight w:val="none"/>
        </w:rPr>
      </w:pPr>
      <w:bookmarkStart w:id="30" w:name="_Toc28359021"/>
      <w:bookmarkStart w:id="31" w:name="_Toc35393639"/>
      <w:bookmarkStart w:id="32" w:name="_Toc35393808"/>
      <w:bookmarkStart w:id="33" w:name="_Toc28359098"/>
      <w:r>
        <w:rPr>
          <w:rFonts w:hint="eastAsia" w:ascii="宋体" w:hAnsi="宋体" w:cs="宋体"/>
          <w:color w:val="auto"/>
          <w:sz w:val="24"/>
          <w:szCs w:val="24"/>
          <w:highlight w:val="none"/>
          <w:lang w:eastAsia="zh-CN"/>
        </w:rPr>
        <w:t>3.</w:t>
      </w:r>
      <w:r>
        <w:rPr>
          <w:rFonts w:hint="eastAsia" w:ascii="宋体" w:hAnsi="宋体" w:cs="宋体"/>
          <w:color w:val="auto"/>
          <w:sz w:val="24"/>
          <w:szCs w:val="24"/>
          <w:highlight w:val="none"/>
        </w:rPr>
        <w:t>项目联系方式</w:t>
      </w:r>
      <w:bookmarkEnd w:id="30"/>
      <w:bookmarkEnd w:id="31"/>
      <w:bookmarkEnd w:id="32"/>
      <w:bookmarkEnd w:id="33"/>
    </w:p>
    <w:p>
      <w:pPr>
        <w:spacing w:line="360" w:lineRule="auto"/>
        <w:ind w:left="420" w:leftChars="200"/>
        <w:rPr>
          <w:rFonts w:hint="eastAsia" w:ascii="宋体" w:hAnsi="宋体" w:cs="宋体"/>
          <w:color w:val="auto"/>
          <w:sz w:val="24"/>
          <w:szCs w:val="24"/>
          <w:highlight w:val="none"/>
        </w:rPr>
      </w:pPr>
      <w:r>
        <w:rPr>
          <w:rFonts w:hint="eastAsia" w:ascii="宋体" w:hAnsi="宋体" w:cs="宋体"/>
          <w:color w:val="auto"/>
          <w:sz w:val="24"/>
          <w:szCs w:val="24"/>
          <w:highlight w:val="none"/>
        </w:rPr>
        <w:t>项目联系人：</w:t>
      </w:r>
      <w:r>
        <w:rPr>
          <w:rFonts w:hint="eastAsia" w:ascii="宋体" w:hAnsi="宋体" w:cs="宋体"/>
          <w:color w:val="auto"/>
          <w:sz w:val="24"/>
          <w:szCs w:val="24"/>
          <w:highlight w:val="none"/>
          <w:lang w:val="en-US" w:eastAsia="zh-CN"/>
        </w:rPr>
        <w:t xml:space="preserve">王先生 </w:t>
      </w:r>
      <w:r>
        <w:rPr>
          <w:rFonts w:hint="eastAsia" w:ascii="宋体" w:hAnsi="宋体" w:cs="宋体"/>
          <w:color w:val="auto"/>
          <w:sz w:val="24"/>
          <w:szCs w:val="24"/>
          <w:highlight w:val="none"/>
        </w:rPr>
        <w:t xml:space="preserve">    </w:t>
      </w:r>
    </w:p>
    <w:p>
      <w:pPr>
        <w:spacing w:line="360" w:lineRule="auto"/>
        <w:ind w:left="420" w:leftChars="200"/>
        <w:rPr>
          <w:rFonts w:ascii="宋体" w:hAnsi="宋体" w:cs="宋体"/>
          <w:color w:val="auto"/>
          <w:szCs w:val="21"/>
          <w:highlight w:val="none"/>
        </w:rPr>
      </w:pPr>
      <w:r>
        <w:rPr>
          <w:rFonts w:hint="eastAsia" w:ascii="宋体" w:hAnsi="宋体" w:cs="宋体"/>
          <w:color w:val="auto"/>
          <w:sz w:val="24"/>
          <w:szCs w:val="24"/>
          <w:highlight w:val="none"/>
        </w:rPr>
        <w:t>联系电话：</w:t>
      </w:r>
      <w:r>
        <w:rPr>
          <w:rFonts w:hint="eastAsia" w:ascii="宋体" w:hAnsi="宋体" w:cs="宋体"/>
          <w:color w:val="auto"/>
          <w:sz w:val="24"/>
          <w:szCs w:val="24"/>
          <w:highlight w:val="none"/>
          <w:lang w:eastAsia="zh-CN"/>
        </w:rPr>
        <w:t>0513-89093929</w:t>
      </w:r>
      <w:r>
        <w:rPr>
          <w:rFonts w:hint="eastAsia" w:ascii="宋体" w:hAnsi="宋体" w:cs="宋体"/>
          <w:color w:val="auto"/>
          <w:sz w:val="24"/>
          <w:szCs w:val="24"/>
          <w:highlight w:val="none"/>
          <w:lang w:val="en-US" w:eastAsia="zh-CN"/>
        </w:rPr>
        <w:t xml:space="preserve"> </w:t>
      </w:r>
      <w:bookmarkStart w:id="74" w:name="_GoBack"/>
      <w:bookmarkEnd w:id="74"/>
      <w:r>
        <w:rPr>
          <w:rFonts w:hint="eastAsia" w:ascii="宋体" w:hAnsi="宋体" w:cs="宋体"/>
          <w:color w:val="auto"/>
          <w:sz w:val="24"/>
          <w:szCs w:val="24"/>
          <w:highlight w:val="none"/>
          <w:lang w:val="en-US" w:eastAsia="zh-CN"/>
        </w:rPr>
        <w:t xml:space="preserve"> </w:t>
      </w:r>
      <w:r>
        <w:rPr>
          <w:rFonts w:hint="eastAsia" w:ascii="宋体" w:hAnsi="宋体" w:cs="宋体"/>
          <w:color w:val="auto"/>
          <w:sz w:val="24"/>
          <w:szCs w:val="24"/>
          <w:highlight w:val="none"/>
        </w:rPr>
        <w:t xml:space="preserve">  </w:t>
      </w:r>
      <w:r>
        <w:rPr>
          <w:rFonts w:hint="eastAsia" w:ascii="宋体" w:hAnsi="宋体" w:cs="宋体"/>
          <w:color w:val="auto"/>
          <w:szCs w:val="21"/>
          <w:highlight w:val="none"/>
        </w:rPr>
        <w:t xml:space="preserve">  </w:t>
      </w:r>
    </w:p>
    <w:p>
      <w:pPr>
        <w:pStyle w:val="5"/>
        <w:keepNext w:val="0"/>
        <w:keepLines w:val="0"/>
        <w:snapToGrid w:val="0"/>
        <w:spacing w:before="0" w:after="0" w:line="360" w:lineRule="auto"/>
        <w:jc w:val="center"/>
        <w:rPr>
          <w:rFonts w:ascii="宋体" w:cs="宋体"/>
          <w:color w:val="auto"/>
          <w:w w:val="80"/>
          <w:sz w:val="24"/>
          <w:szCs w:val="24"/>
          <w:highlight w:val="none"/>
        </w:rPr>
      </w:pPr>
      <w:r>
        <w:rPr>
          <w:rFonts w:ascii="宋体" w:cs="宋体"/>
          <w:color w:val="auto"/>
          <w:w w:val="80"/>
          <w:sz w:val="24"/>
          <w:szCs w:val="24"/>
          <w:highlight w:val="none"/>
        </w:rPr>
        <w:br w:type="page"/>
      </w:r>
      <w:r>
        <w:rPr>
          <w:rFonts w:hint="eastAsia" w:ascii="宋体" w:hAnsi="宋体" w:cs="宋体"/>
          <w:color w:val="auto"/>
          <w:w w:val="80"/>
          <w:kern w:val="2"/>
          <w:szCs w:val="44"/>
          <w:highlight w:val="none"/>
        </w:rPr>
        <w:t>第二章</w:t>
      </w:r>
      <w:r>
        <w:rPr>
          <w:rFonts w:ascii="宋体" w:hAnsi="宋体" w:cs="宋体"/>
          <w:color w:val="auto"/>
          <w:w w:val="80"/>
          <w:kern w:val="2"/>
          <w:szCs w:val="44"/>
          <w:highlight w:val="none"/>
        </w:rPr>
        <w:t xml:space="preserve">  </w:t>
      </w:r>
      <w:bookmarkEnd w:id="11"/>
      <w:bookmarkEnd w:id="12"/>
      <w:bookmarkEnd w:id="13"/>
      <w:bookmarkEnd w:id="14"/>
      <w:bookmarkEnd w:id="15"/>
      <w:bookmarkEnd w:id="16"/>
      <w:bookmarkEnd w:id="17"/>
      <w:bookmarkEnd w:id="18"/>
      <w:bookmarkEnd w:id="19"/>
      <w:bookmarkEnd w:id="20"/>
      <w:r>
        <w:rPr>
          <w:rFonts w:hint="eastAsia" w:ascii="宋体" w:hAnsi="宋体" w:cs="宋体"/>
          <w:color w:val="auto"/>
          <w:w w:val="80"/>
          <w:kern w:val="2"/>
          <w:szCs w:val="44"/>
          <w:highlight w:val="none"/>
        </w:rPr>
        <w:t>磋商供应商须知</w:t>
      </w:r>
      <w:bookmarkEnd w:id="21"/>
    </w:p>
    <w:p>
      <w:pPr>
        <w:snapToGrid w:val="0"/>
        <w:spacing w:line="480" w:lineRule="exact"/>
        <w:ind w:firstLine="482" w:firstLineChars="200"/>
        <w:outlineLvl w:val="1"/>
        <w:rPr>
          <w:rFonts w:ascii="宋体" w:cs="宋体"/>
          <w:b/>
          <w:bCs/>
          <w:color w:val="auto"/>
          <w:sz w:val="24"/>
          <w:szCs w:val="24"/>
          <w:highlight w:val="none"/>
        </w:rPr>
      </w:pPr>
      <w:bookmarkStart w:id="34" w:name="_Toc94585341"/>
      <w:bookmarkStart w:id="35" w:name="_Toc94544745"/>
      <w:bookmarkStart w:id="36" w:name="_Toc8895740"/>
      <w:bookmarkStart w:id="37" w:name="_Toc521203419"/>
      <w:bookmarkStart w:id="38" w:name="_Toc12670504"/>
      <w:bookmarkStart w:id="39" w:name="_Toc11554640"/>
      <w:bookmarkStart w:id="40" w:name="_Toc11500281"/>
      <w:bookmarkStart w:id="41" w:name="_Toc521201598"/>
      <w:bookmarkStart w:id="42" w:name="_Toc94544871"/>
      <w:bookmarkStart w:id="43" w:name="_Toc11499585"/>
      <w:r>
        <w:rPr>
          <w:rFonts w:hint="eastAsia" w:ascii="宋体" w:hAnsi="宋体" w:cs="宋体"/>
          <w:b/>
          <w:bCs/>
          <w:color w:val="auto"/>
          <w:sz w:val="24"/>
          <w:szCs w:val="24"/>
          <w:highlight w:val="none"/>
        </w:rPr>
        <w:t>一、说明</w:t>
      </w:r>
    </w:p>
    <w:p>
      <w:pPr>
        <w:snapToGrid w:val="0"/>
        <w:spacing w:line="480" w:lineRule="exact"/>
        <w:ind w:firstLine="480" w:firstLineChars="200"/>
        <w:rPr>
          <w:rFonts w:ascii="宋体" w:cs="宋体"/>
          <w:bCs/>
          <w:color w:val="auto"/>
          <w:sz w:val="24"/>
          <w:szCs w:val="24"/>
          <w:highlight w:val="none"/>
        </w:rPr>
      </w:pPr>
      <w:r>
        <w:rPr>
          <w:rFonts w:hint="eastAsia" w:ascii="宋体" w:hAnsi="宋体" w:cs="宋体"/>
          <w:bCs/>
          <w:color w:val="auto"/>
          <w:sz w:val="24"/>
          <w:szCs w:val="24"/>
          <w:highlight w:val="none"/>
          <w:lang w:eastAsia="zh-CN"/>
        </w:rPr>
        <w:t>1.</w:t>
      </w:r>
      <w:r>
        <w:rPr>
          <w:rFonts w:hint="eastAsia" w:ascii="宋体" w:hAnsi="宋体" w:cs="宋体"/>
          <w:bCs/>
          <w:color w:val="auto"/>
          <w:sz w:val="24"/>
          <w:szCs w:val="24"/>
          <w:highlight w:val="none"/>
        </w:rPr>
        <w:t>本竞争性磋商文件仅适用于江苏正扬招标代理有限公司组织的竞争性磋商采购活动。</w:t>
      </w:r>
    </w:p>
    <w:p>
      <w:pPr>
        <w:snapToGrid w:val="0"/>
        <w:spacing w:line="480" w:lineRule="exact"/>
        <w:ind w:firstLine="480" w:firstLineChars="200"/>
        <w:rPr>
          <w:rFonts w:ascii="宋体" w:cs="宋体"/>
          <w:bCs/>
          <w:color w:val="auto"/>
          <w:sz w:val="24"/>
          <w:szCs w:val="24"/>
          <w:highlight w:val="none"/>
        </w:rPr>
      </w:pPr>
      <w:r>
        <w:rPr>
          <w:rFonts w:hint="eastAsia" w:ascii="宋体" w:hAnsi="宋体" w:cs="宋体"/>
          <w:bCs/>
          <w:color w:val="auto"/>
          <w:sz w:val="24"/>
          <w:szCs w:val="24"/>
          <w:highlight w:val="none"/>
          <w:lang w:eastAsia="zh-CN"/>
        </w:rPr>
        <w:t>2.</w:t>
      </w:r>
      <w:r>
        <w:rPr>
          <w:rFonts w:hint="eastAsia" w:ascii="宋体" w:hAnsi="宋体" w:cs="宋体"/>
          <w:bCs/>
          <w:color w:val="auto"/>
          <w:sz w:val="24"/>
          <w:szCs w:val="24"/>
          <w:highlight w:val="none"/>
        </w:rPr>
        <w:t>竞争性磋商活动及因本次磋商产生的合同受中国法律制约和保护。</w:t>
      </w:r>
    </w:p>
    <w:p>
      <w:pPr>
        <w:snapToGrid w:val="0"/>
        <w:spacing w:line="480" w:lineRule="exact"/>
        <w:ind w:firstLine="480" w:firstLineChars="200"/>
        <w:rPr>
          <w:rFonts w:ascii="宋体" w:cs="宋体"/>
          <w:bCs/>
          <w:color w:val="auto"/>
          <w:sz w:val="24"/>
          <w:szCs w:val="24"/>
          <w:highlight w:val="none"/>
        </w:rPr>
      </w:pPr>
      <w:r>
        <w:rPr>
          <w:rFonts w:hint="eastAsia" w:ascii="宋体" w:hAnsi="宋体" w:cs="宋体"/>
          <w:bCs/>
          <w:color w:val="auto"/>
          <w:sz w:val="24"/>
          <w:szCs w:val="24"/>
          <w:highlight w:val="none"/>
          <w:lang w:eastAsia="zh-CN"/>
        </w:rPr>
        <w:t>3.</w:t>
      </w:r>
      <w:r>
        <w:rPr>
          <w:rFonts w:hint="eastAsia" w:ascii="宋体" w:hAnsi="宋体" w:cs="宋体"/>
          <w:bCs/>
          <w:color w:val="auto"/>
          <w:sz w:val="24"/>
          <w:szCs w:val="24"/>
          <w:highlight w:val="none"/>
        </w:rPr>
        <w:t>竞争性磋商文件的解释权属于江苏正扬招标代理有限公司。</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cs="宋体"/>
          <w:color w:val="auto"/>
          <w:sz w:val="24"/>
          <w:szCs w:val="24"/>
          <w:highlight w:val="none"/>
        </w:rPr>
        <w:t>供应商下载磋商文件后，应仔细检查磋商文件的所有内容。如内容中有页码短缺、资格要求以及任何设置有不合理的条件对供应商实行差别待遇或者歧视待遇的，应在磋商文件发布后的</w:t>
      </w:r>
      <w:r>
        <w:rPr>
          <w:rFonts w:ascii="宋体" w:hAnsi="宋体" w:cs="宋体"/>
          <w:color w:val="auto"/>
          <w:sz w:val="24"/>
          <w:szCs w:val="24"/>
          <w:highlight w:val="none"/>
        </w:rPr>
        <w:t>4</w:t>
      </w:r>
      <w:r>
        <w:rPr>
          <w:rFonts w:hint="eastAsia" w:ascii="宋体" w:hAnsi="宋体" w:cs="宋体"/>
          <w:color w:val="auto"/>
          <w:sz w:val="24"/>
          <w:szCs w:val="24"/>
          <w:highlight w:val="none"/>
        </w:rPr>
        <w:t>日内，以书面形式向代理机构提出询问或疑问，未在规定的时间内提出询问或疑问的，视同理解并接受本磋商文件的所有内容，因此引起的损失由供应商自负，而且供应商不得在磋商结束后针对磋商文件的所有内容提出质疑事项。</w:t>
      </w:r>
      <w:r>
        <w:rPr>
          <w:rFonts w:hint="eastAsia" w:ascii="宋体" w:hAnsi="宋体" w:cs="宋体"/>
          <w:b/>
          <w:color w:val="auto"/>
          <w:sz w:val="24"/>
          <w:szCs w:val="24"/>
          <w:highlight w:val="none"/>
        </w:rPr>
        <w:t>非书面形式的不作为日后质疑提出的依据。</w:t>
      </w:r>
    </w:p>
    <w:p>
      <w:pPr>
        <w:snapToGrid w:val="0"/>
        <w:spacing w:line="480" w:lineRule="exact"/>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lang w:eastAsia="zh-CN"/>
        </w:rPr>
        <w:t>5.</w:t>
      </w:r>
      <w:r>
        <w:rPr>
          <w:rFonts w:hint="eastAsia" w:ascii="宋体" w:hAnsi="宋体" w:cs="宋体"/>
          <w:color w:val="auto"/>
          <w:sz w:val="24"/>
          <w:szCs w:val="24"/>
          <w:highlight w:val="none"/>
        </w:rPr>
        <w:t>供应商应认真审阅磋商文件中所有的事项、格式、条款和规范要求等，如果供应商没有按照磋商文件要求提交响应文件，或者响应文件没有对磋商文件做出实质性响应，将被拒绝参与项目的磋商。</w:t>
      </w:r>
    </w:p>
    <w:p>
      <w:pPr>
        <w:snapToGrid w:val="0"/>
        <w:spacing w:line="480" w:lineRule="exact"/>
        <w:ind w:firstLine="482" w:firstLineChars="200"/>
        <w:outlineLvl w:val="1"/>
        <w:rPr>
          <w:rFonts w:ascii="宋体" w:cs="宋体"/>
          <w:b/>
          <w:color w:val="auto"/>
          <w:sz w:val="24"/>
          <w:szCs w:val="24"/>
          <w:highlight w:val="none"/>
        </w:rPr>
      </w:pPr>
      <w:r>
        <w:rPr>
          <w:rFonts w:hint="eastAsia" w:ascii="宋体" w:hAnsi="宋体" w:cs="宋体"/>
          <w:b/>
          <w:color w:val="auto"/>
          <w:sz w:val="24"/>
          <w:szCs w:val="24"/>
          <w:highlight w:val="none"/>
        </w:rPr>
        <w:t>二、磋商文件的澄清、修改、答疑</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cs="宋体"/>
          <w:color w:val="auto"/>
          <w:sz w:val="24"/>
          <w:szCs w:val="24"/>
          <w:highlight w:val="none"/>
        </w:rPr>
        <w:t>代理机构有权对发出的磋商文件进行必要的澄清、修改或补充。</w:t>
      </w:r>
    </w:p>
    <w:p>
      <w:pPr>
        <w:snapToGrid w:val="0"/>
        <w:spacing w:line="480" w:lineRule="exact"/>
        <w:ind w:firstLine="480" w:firstLineChars="200"/>
        <w:jc w:val="left"/>
        <w:rPr>
          <w:rFonts w:ascii="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cs="宋体"/>
          <w:color w:val="auto"/>
          <w:sz w:val="24"/>
          <w:szCs w:val="24"/>
          <w:highlight w:val="none"/>
        </w:rPr>
        <w:t>磋商文件的澄清、修改、补充等内容均以书面明确的形式发布，并以南通市</w:t>
      </w:r>
      <w:r>
        <w:rPr>
          <w:rFonts w:hint="eastAsia" w:ascii="宋体" w:hAnsi="宋体" w:cs="宋体"/>
          <w:color w:val="auto"/>
          <w:sz w:val="24"/>
          <w:szCs w:val="24"/>
          <w:highlight w:val="none"/>
          <w:lang w:eastAsia="zh-CN"/>
        </w:rPr>
        <w:t>南通市第三人民医院官网</w:t>
      </w:r>
      <w:r>
        <w:rPr>
          <w:rFonts w:hint="eastAsia" w:ascii="宋体" w:hAnsi="宋体" w:cs="宋体"/>
          <w:color w:val="auto"/>
          <w:sz w:val="24"/>
          <w:szCs w:val="24"/>
          <w:highlight w:val="none"/>
        </w:rPr>
        <w:t>发布的信息为准。</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cs="宋体"/>
          <w:color w:val="auto"/>
          <w:sz w:val="24"/>
          <w:szCs w:val="24"/>
          <w:highlight w:val="none"/>
        </w:rPr>
        <w:t>代理机构对磋商文件的澄清、修改将构成磋商文件的一部分，对响应磋商的供应商具有约束力。</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cs="宋体"/>
          <w:color w:val="auto"/>
          <w:sz w:val="24"/>
          <w:szCs w:val="24"/>
          <w:highlight w:val="none"/>
        </w:rPr>
        <w:t>澄清或者修改的内容可能影响到响应文件编制的，代理机构将在提交响应文件接收截止之日</w:t>
      </w:r>
      <w:r>
        <w:rPr>
          <w:rFonts w:ascii="宋体" w:hAnsi="宋体" w:cs="宋体"/>
          <w:color w:val="auto"/>
          <w:sz w:val="24"/>
          <w:szCs w:val="24"/>
          <w:highlight w:val="none"/>
        </w:rPr>
        <w:t>5</w:t>
      </w:r>
      <w:r>
        <w:rPr>
          <w:rFonts w:hint="eastAsia" w:ascii="宋体" w:hAnsi="宋体" w:cs="宋体"/>
          <w:color w:val="auto"/>
          <w:sz w:val="24"/>
          <w:szCs w:val="24"/>
          <w:highlight w:val="none"/>
        </w:rPr>
        <w:t>日前，发布澄清或者修改公告，不足</w:t>
      </w:r>
      <w:r>
        <w:rPr>
          <w:rFonts w:ascii="宋体" w:hAnsi="宋体" w:cs="宋体"/>
          <w:color w:val="auto"/>
          <w:sz w:val="24"/>
          <w:szCs w:val="24"/>
          <w:highlight w:val="none"/>
        </w:rPr>
        <w:t>5</w:t>
      </w:r>
      <w:r>
        <w:rPr>
          <w:rFonts w:hint="eastAsia" w:ascii="宋体" w:hAnsi="宋体" w:cs="宋体"/>
          <w:color w:val="auto"/>
          <w:sz w:val="24"/>
          <w:szCs w:val="24"/>
          <w:highlight w:val="none"/>
        </w:rPr>
        <w:t>日的，当顺延提交响应文件接收截止时间。</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eastAsia="zh-CN"/>
        </w:rPr>
        <w:t>5.</w:t>
      </w:r>
      <w:r>
        <w:rPr>
          <w:rFonts w:hint="eastAsia" w:ascii="宋体" w:hAnsi="宋体" w:cs="宋体"/>
          <w:color w:val="auto"/>
          <w:sz w:val="24"/>
          <w:szCs w:val="24"/>
          <w:highlight w:val="none"/>
        </w:rPr>
        <w:t>除非代理机构以书面的形式对磋商文件作出澄清、修改及补充，供应商对涉及磋商文件的任何推论、理解和结论所造成的结果，均由供应商自负。</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eastAsia="zh-CN"/>
        </w:rPr>
        <w:t>6.</w:t>
      </w:r>
      <w:r>
        <w:rPr>
          <w:rFonts w:hint="eastAsia" w:ascii="宋体" w:hAnsi="宋体" w:cs="宋体"/>
          <w:color w:val="auto"/>
          <w:sz w:val="24"/>
          <w:szCs w:val="24"/>
          <w:highlight w:val="none"/>
        </w:rPr>
        <w:t>采购单位视情况组织答疑会。如有产生答疑且对磋商文件内容有修改，代理机构将按照本须知有关规定，以补充通知（公告）的方式发出。</w:t>
      </w:r>
    </w:p>
    <w:p>
      <w:pPr>
        <w:snapToGrid w:val="0"/>
        <w:spacing w:line="480" w:lineRule="exact"/>
        <w:ind w:firstLine="482" w:firstLineChars="200"/>
        <w:outlineLvl w:val="1"/>
        <w:rPr>
          <w:rFonts w:ascii="宋体"/>
          <w:b/>
          <w:bCs/>
          <w:color w:val="auto"/>
          <w:sz w:val="24"/>
          <w:szCs w:val="24"/>
          <w:highlight w:val="none"/>
        </w:rPr>
      </w:pPr>
      <w:r>
        <w:rPr>
          <w:rFonts w:hint="eastAsia" w:ascii="宋体" w:hAnsi="宋体" w:cs="宋体"/>
          <w:b/>
          <w:color w:val="auto"/>
          <w:sz w:val="24"/>
          <w:szCs w:val="24"/>
          <w:highlight w:val="none"/>
        </w:rPr>
        <w:t>三、</w:t>
      </w:r>
      <w:r>
        <w:rPr>
          <w:rFonts w:hint="eastAsia" w:ascii="宋体" w:hAnsi="宋体" w:cs="宋体"/>
          <w:b/>
          <w:bCs/>
          <w:color w:val="auto"/>
          <w:sz w:val="24"/>
          <w:szCs w:val="24"/>
          <w:highlight w:val="none"/>
        </w:rPr>
        <w:t>磋商项目涉及到的现场勘察</w:t>
      </w:r>
    </w:p>
    <w:p>
      <w:pPr>
        <w:spacing w:line="480" w:lineRule="exact"/>
        <w:ind w:firstLine="484" w:firstLineChars="202"/>
        <w:rPr>
          <w:rFonts w:ascii="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cs="宋体"/>
          <w:color w:val="auto"/>
          <w:sz w:val="24"/>
          <w:szCs w:val="24"/>
          <w:highlight w:val="none"/>
        </w:rPr>
        <w:t>磋商文件所提供的项目相关数据仅做参考，根据自身需要，供应商可在磋商文件递交之日前对有关现场和周围环境进行勘察，以获取编制响应文件和签署合同所需的信息。勘察现场所发生的费用由供应商自己承担。</w:t>
      </w:r>
    </w:p>
    <w:p>
      <w:pPr>
        <w:spacing w:line="480" w:lineRule="exact"/>
        <w:ind w:firstLine="484" w:firstLineChars="202"/>
        <w:rPr>
          <w:rFonts w:ascii="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cs="宋体"/>
          <w:color w:val="auto"/>
          <w:sz w:val="24"/>
          <w:szCs w:val="24"/>
          <w:highlight w:val="none"/>
        </w:rPr>
        <w:t>采购单位向供应商提供的有关现场的资料和数据，是采购单位现有的并认为能使供应商可利用的资料。采购人对供应商由此而做出的推论、理解和结论概不负责。</w:t>
      </w:r>
    </w:p>
    <w:p>
      <w:pPr>
        <w:spacing w:line="480" w:lineRule="exact"/>
        <w:ind w:firstLine="484" w:firstLineChars="202"/>
        <w:rPr>
          <w:rFonts w:ascii="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cs="宋体"/>
          <w:color w:val="auto"/>
          <w:sz w:val="24"/>
          <w:szCs w:val="24"/>
          <w:highlight w:val="none"/>
        </w:rPr>
        <w:t>经采购人允许，供应商可为勘察目的进入采购人的项目现场，但供应商不得因此使采购人承担有关的责任和蒙受损失。供应商应承担勘察现场的责任和风险。</w:t>
      </w:r>
    </w:p>
    <w:p>
      <w:pPr>
        <w:spacing w:line="480" w:lineRule="exact"/>
        <w:ind w:firstLine="484" w:firstLineChars="202"/>
        <w:rPr>
          <w:rFonts w:ascii="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cs="宋体"/>
          <w:color w:val="auto"/>
          <w:sz w:val="24"/>
          <w:szCs w:val="24"/>
          <w:highlight w:val="none"/>
        </w:rPr>
        <w:t>供应商应认真踏勘现场。在现场勘察时，熟悉供货及安装现场、现场周围交通道路等情况，以获得一切可能影响其投标的直接资料。供应商成交后，不得以不完全了解现场情况为理由而向采购人提出任何索赔的要求，对此采购人不承担任何责任并将不作任何答复与考虑。</w:t>
      </w:r>
    </w:p>
    <w:p>
      <w:pPr>
        <w:spacing w:line="480" w:lineRule="exact"/>
        <w:ind w:firstLine="487" w:firstLineChars="202"/>
        <w:rPr>
          <w:rFonts w:ascii="宋体" w:cs="宋体"/>
          <w:b/>
          <w:color w:val="auto"/>
          <w:sz w:val="24"/>
          <w:szCs w:val="24"/>
          <w:highlight w:val="none"/>
        </w:rPr>
      </w:pPr>
      <w:r>
        <w:rPr>
          <w:rFonts w:hint="eastAsia" w:ascii="宋体" w:hAnsi="宋体" w:cs="宋体"/>
          <w:b/>
          <w:bCs/>
          <w:color w:val="auto"/>
          <w:sz w:val="24"/>
          <w:szCs w:val="24"/>
          <w:highlight w:val="none"/>
        </w:rPr>
        <w:t>四、</w:t>
      </w:r>
      <w:r>
        <w:rPr>
          <w:rFonts w:hint="eastAsia" w:ascii="宋体" w:hAnsi="宋体" w:cs="宋体"/>
          <w:b/>
          <w:color w:val="auto"/>
          <w:sz w:val="24"/>
          <w:szCs w:val="24"/>
          <w:highlight w:val="none"/>
        </w:rPr>
        <w:t>响应文件的编制及装订</w:t>
      </w:r>
    </w:p>
    <w:p>
      <w:pPr>
        <w:spacing w:line="480" w:lineRule="exact"/>
        <w:ind w:firstLine="484" w:firstLineChars="202"/>
        <w:rPr>
          <w:rFonts w:ascii="宋体" w:cs="宋体"/>
          <w:color w:val="auto"/>
          <w:sz w:val="24"/>
          <w:szCs w:val="24"/>
          <w:highlight w:val="none"/>
        </w:rPr>
      </w:pPr>
      <w:r>
        <w:rPr>
          <w:rFonts w:hint="eastAsia" w:ascii="宋体" w:hAnsi="宋体" w:cs="宋体"/>
          <w:color w:val="auto"/>
          <w:sz w:val="24"/>
          <w:szCs w:val="24"/>
          <w:highlight w:val="none"/>
        </w:rPr>
        <w:t>供应商按磋商文件要求编写响应文件，并牢固装订成册。</w:t>
      </w:r>
      <w:r>
        <w:rPr>
          <w:rFonts w:hint="eastAsia" w:ascii="宋体" w:hAnsi="宋体" w:cs="宋体"/>
          <w:b/>
          <w:color w:val="auto"/>
          <w:sz w:val="24"/>
          <w:szCs w:val="24"/>
          <w:highlight w:val="none"/>
        </w:rPr>
        <w:t>响应文件均需采用</w:t>
      </w:r>
      <w:r>
        <w:rPr>
          <w:rFonts w:ascii="宋体" w:hAnsi="宋体" w:cs="宋体"/>
          <w:b/>
          <w:color w:val="auto"/>
          <w:sz w:val="24"/>
          <w:szCs w:val="24"/>
          <w:highlight w:val="none"/>
        </w:rPr>
        <w:t>A4</w:t>
      </w:r>
      <w:r>
        <w:rPr>
          <w:rFonts w:hint="eastAsia" w:ascii="宋体" w:hAnsi="宋体" w:cs="宋体"/>
          <w:b/>
          <w:color w:val="auto"/>
          <w:sz w:val="24"/>
          <w:szCs w:val="24"/>
          <w:highlight w:val="none"/>
        </w:rPr>
        <w:t>纸（图纸等除外）</w:t>
      </w:r>
      <w:r>
        <w:rPr>
          <w:rFonts w:hint="eastAsia" w:ascii="宋体" w:hAnsi="宋体" w:cs="宋体"/>
          <w:color w:val="auto"/>
          <w:sz w:val="24"/>
          <w:szCs w:val="24"/>
          <w:highlight w:val="none"/>
        </w:rPr>
        <w:t>，</w:t>
      </w:r>
      <w:r>
        <w:rPr>
          <w:rFonts w:hint="eastAsia" w:ascii="宋体" w:hAnsi="宋体" w:cs="宋体"/>
          <w:color w:val="auto"/>
          <w:sz w:val="24"/>
          <w:szCs w:val="24"/>
          <w:highlight w:val="none"/>
          <w:lang w:val="en-US" w:eastAsia="zh-CN"/>
        </w:rPr>
        <w:t>不要</w:t>
      </w:r>
      <w:r>
        <w:rPr>
          <w:rFonts w:hint="eastAsia" w:ascii="宋体" w:hAnsi="宋体" w:cs="宋体"/>
          <w:color w:val="auto"/>
          <w:sz w:val="24"/>
          <w:szCs w:val="24"/>
          <w:highlight w:val="none"/>
        </w:rPr>
        <w:t>使用活页夹、拉杆夹、文件夹、塑料方便式书脊（插入式或穿孔式）装订。响应文件不得行间插字、涂改、增删，如修改错漏处，须经响应文件签署人签字并加盖公章。</w:t>
      </w:r>
    </w:p>
    <w:p>
      <w:pPr>
        <w:snapToGrid w:val="0"/>
        <w:spacing w:line="480" w:lineRule="exact"/>
        <w:ind w:firstLine="482" w:firstLineChars="200"/>
        <w:outlineLvl w:val="1"/>
        <w:rPr>
          <w:rFonts w:ascii="宋体" w:cs="宋体"/>
          <w:b/>
          <w:bCs/>
          <w:color w:val="auto"/>
          <w:sz w:val="24"/>
          <w:szCs w:val="24"/>
          <w:highlight w:val="none"/>
        </w:rPr>
      </w:pPr>
      <w:r>
        <w:rPr>
          <w:rFonts w:hint="eastAsia" w:ascii="宋体" w:hAnsi="宋体" w:cs="宋体"/>
          <w:b/>
          <w:bCs/>
          <w:color w:val="auto"/>
          <w:sz w:val="24"/>
          <w:szCs w:val="24"/>
          <w:highlight w:val="none"/>
        </w:rPr>
        <w:t>五、响应文件的份数和签署</w:t>
      </w:r>
    </w:p>
    <w:p>
      <w:pPr>
        <w:spacing w:line="480" w:lineRule="exact"/>
        <w:ind w:firstLine="484" w:firstLineChars="202"/>
        <w:rPr>
          <w:rFonts w:ascii="宋体"/>
          <w:color w:val="auto"/>
          <w:sz w:val="24"/>
          <w:highlight w:val="none"/>
        </w:rPr>
      </w:pPr>
      <w:r>
        <w:rPr>
          <w:rFonts w:hint="eastAsia" w:ascii="宋体" w:hAnsi="宋体" w:cs="宋体"/>
          <w:color w:val="auto"/>
          <w:sz w:val="24"/>
          <w:szCs w:val="24"/>
          <w:highlight w:val="none"/>
          <w:lang w:eastAsia="zh-CN"/>
        </w:rPr>
        <w:t>1.</w:t>
      </w:r>
      <w:r>
        <w:rPr>
          <w:rFonts w:hint="eastAsia" w:ascii="宋体" w:hAnsi="宋体" w:cs="宋体"/>
          <w:color w:val="auto"/>
          <w:sz w:val="24"/>
          <w:szCs w:val="24"/>
          <w:highlight w:val="none"/>
        </w:rPr>
        <w:t>响应文件由：</w:t>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 1 \* GB3 </w:instrText>
      </w:r>
      <w:r>
        <w:rPr>
          <w:rFonts w:ascii="宋体" w:hAnsi="宋体" w:cs="宋体"/>
          <w:color w:val="auto"/>
          <w:sz w:val="24"/>
          <w:szCs w:val="24"/>
          <w:highlight w:val="none"/>
        </w:rPr>
        <w:fldChar w:fldCharType="separate"/>
      </w:r>
      <w:r>
        <w:rPr>
          <w:rFonts w:hint="eastAsia" w:ascii="宋体" w:hAnsi="宋体" w:cs="宋体"/>
          <w:color w:val="auto"/>
          <w:sz w:val="24"/>
          <w:szCs w:val="24"/>
          <w:highlight w:val="none"/>
        </w:rPr>
        <w:t>①</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资格审查文件、</w:t>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 2 \* GB3 </w:instrText>
      </w:r>
      <w:r>
        <w:rPr>
          <w:rFonts w:ascii="宋体" w:hAnsi="宋体" w:cs="宋体"/>
          <w:color w:val="auto"/>
          <w:sz w:val="24"/>
          <w:szCs w:val="24"/>
          <w:highlight w:val="none"/>
        </w:rPr>
        <w:fldChar w:fldCharType="separate"/>
      </w:r>
      <w:r>
        <w:rPr>
          <w:rFonts w:hint="eastAsia" w:ascii="宋体" w:hAnsi="宋体" w:cs="宋体"/>
          <w:color w:val="auto"/>
          <w:sz w:val="24"/>
          <w:szCs w:val="24"/>
          <w:highlight w:val="none"/>
        </w:rPr>
        <w:t>②</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技术响应文件、</w:t>
      </w:r>
      <w:r>
        <w:rPr>
          <w:rFonts w:ascii="宋体" w:hAnsi="宋体" w:cs="宋体"/>
          <w:color w:val="auto"/>
          <w:sz w:val="24"/>
          <w:szCs w:val="24"/>
          <w:highlight w:val="none"/>
        </w:rPr>
        <w:fldChar w:fldCharType="begin"/>
      </w:r>
      <w:r>
        <w:rPr>
          <w:rFonts w:ascii="宋体" w:hAnsi="宋体" w:cs="宋体"/>
          <w:color w:val="auto"/>
          <w:sz w:val="24"/>
          <w:szCs w:val="24"/>
          <w:highlight w:val="none"/>
        </w:rPr>
        <w:instrText xml:space="preserve"> = 3 \* GB3 </w:instrText>
      </w:r>
      <w:r>
        <w:rPr>
          <w:rFonts w:ascii="宋体" w:hAnsi="宋体" w:cs="宋体"/>
          <w:color w:val="auto"/>
          <w:sz w:val="24"/>
          <w:szCs w:val="24"/>
          <w:highlight w:val="none"/>
        </w:rPr>
        <w:fldChar w:fldCharType="separate"/>
      </w:r>
      <w:r>
        <w:rPr>
          <w:rFonts w:hint="eastAsia" w:ascii="宋体" w:hAnsi="宋体" w:cs="宋体"/>
          <w:color w:val="auto"/>
          <w:sz w:val="24"/>
          <w:szCs w:val="24"/>
          <w:highlight w:val="none"/>
        </w:rPr>
        <w:t>③</w:t>
      </w:r>
      <w:r>
        <w:rPr>
          <w:rFonts w:ascii="宋体" w:hAnsi="宋体" w:cs="宋体"/>
          <w:color w:val="auto"/>
          <w:sz w:val="24"/>
          <w:szCs w:val="24"/>
          <w:highlight w:val="none"/>
        </w:rPr>
        <w:fldChar w:fldCharType="end"/>
      </w:r>
      <w:r>
        <w:rPr>
          <w:rFonts w:hint="eastAsia" w:ascii="宋体" w:hAnsi="宋体" w:cs="宋体"/>
          <w:color w:val="auto"/>
          <w:sz w:val="24"/>
          <w:szCs w:val="24"/>
          <w:highlight w:val="none"/>
        </w:rPr>
        <w:t>商务报价响应文件，共</w:t>
      </w:r>
      <w:r>
        <w:rPr>
          <w:rFonts w:ascii="宋体" w:hAnsi="宋体" w:cs="宋体"/>
          <w:color w:val="auto"/>
          <w:sz w:val="24"/>
          <w:szCs w:val="24"/>
          <w:highlight w:val="none"/>
        </w:rPr>
        <w:t>3</w:t>
      </w:r>
      <w:r>
        <w:rPr>
          <w:rFonts w:hint="eastAsia" w:ascii="宋体" w:hAnsi="宋体" w:cs="宋体"/>
          <w:color w:val="auto"/>
          <w:sz w:val="24"/>
          <w:szCs w:val="24"/>
          <w:highlight w:val="none"/>
        </w:rPr>
        <w:t>部分组成。</w:t>
      </w:r>
      <w:r>
        <w:rPr>
          <w:rFonts w:hint="eastAsia" w:ascii="宋体" w:hAnsi="宋体" w:cs="宋体"/>
          <w:b/>
          <w:bCs/>
          <w:color w:val="auto"/>
          <w:sz w:val="24"/>
          <w:szCs w:val="24"/>
          <w:highlight w:val="none"/>
        </w:rPr>
        <w:t>其中资格审查文件、技术响应文件、商务报价响应文件须分别密封。</w:t>
      </w:r>
      <w:r>
        <w:rPr>
          <w:rFonts w:hint="eastAsia" w:ascii="宋体" w:hAnsi="宋体"/>
          <w:b/>
          <w:color w:val="auto"/>
          <w:sz w:val="24"/>
          <w:highlight w:val="none"/>
        </w:rPr>
        <w:t>特别提示：“商务报价响应文件”必须单独装订和封装，不得出现在“资格审查文件”和“技术响应文件”之中。</w:t>
      </w:r>
    </w:p>
    <w:p>
      <w:pPr>
        <w:snapToGrid w:val="0"/>
        <w:spacing w:line="480" w:lineRule="exact"/>
        <w:ind w:firstLine="482" w:firstLineChars="200"/>
        <w:rPr>
          <w:rFonts w:ascii="宋体" w:cs="宋体"/>
          <w:b/>
          <w:bCs/>
          <w:color w:val="auto"/>
          <w:sz w:val="24"/>
          <w:szCs w:val="24"/>
          <w:highlight w:val="none"/>
          <w:u w:val="single"/>
        </w:rPr>
      </w:pPr>
      <w:r>
        <w:rPr>
          <w:rFonts w:hint="eastAsia" w:ascii="宋体" w:hAnsi="宋体" w:cs="宋体"/>
          <w:b/>
          <w:bCs/>
          <w:color w:val="auto"/>
          <w:sz w:val="24"/>
          <w:szCs w:val="24"/>
          <w:highlight w:val="none"/>
          <w:lang w:eastAsia="zh-CN"/>
        </w:rPr>
        <w:t>2.</w:t>
      </w:r>
      <w:r>
        <w:rPr>
          <w:rFonts w:hint="eastAsia" w:ascii="宋体" w:hAnsi="宋体" w:cs="宋体"/>
          <w:b/>
          <w:bCs/>
          <w:color w:val="auto"/>
          <w:sz w:val="24"/>
          <w:szCs w:val="24"/>
          <w:highlight w:val="none"/>
        </w:rPr>
        <w:t>响应文件均为一式叁份，其中“正本”壹份和“副本”贰份。</w:t>
      </w:r>
    </w:p>
    <w:p>
      <w:pPr>
        <w:snapToGrid w:val="0"/>
        <w:spacing w:line="480" w:lineRule="exact"/>
        <w:ind w:firstLine="472" w:firstLineChars="196"/>
        <w:rPr>
          <w:rFonts w:ascii="宋体" w:cs="宋体"/>
          <w:b/>
          <w:bCs/>
          <w:color w:val="auto"/>
          <w:sz w:val="24"/>
          <w:szCs w:val="24"/>
          <w:highlight w:val="none"/>
        </w:rPr>
      </w:pPr>
      <w:r>
        <w:rPr>
          <w:rFonts w:hint="eastAsia" w:ascii="宋体" w:hAnsi="宋体" w:cs="宋体"/>
          <w:b/>
          <w:bCs/>
          <w:color w:val="auto"/>
          <w:sz w:val="24"/>
          <w:szCs w:val="24"/>
          <w:highlight w:val="none"/>
          <w:lang w:eastAsia="zh-CN"/>
        </w:rPr>
        <w:t>3.</w:t>
      </w:r>
      <w:r>
        <w:rPr>
          <w:rFonts w:hint="eastAsia" w:ascii="宋体" w:hAnsi="宋体" w:cs="宋体"/>
          <w:b/>
          <w:bCs/>
          <w:color w:val="auto"/>
          <w:sz w:val="24"/>
          <w:szCs w:val="24"/>
          <w:highlight w:val="none"/>
        </w:rPr>
        <w:t>在每份响应文件上要明确标注项目名称、对应的响应文件名称、供应商的全称及日期，“正本”“副本”字样。“正本”和“副本”若有差异，概以“正本”为准。</w:t>
      </w:r>
    </w:p>
    <w:p>
      <w:pPr>
        <w:snapToGrid w:val="0"/>
        <w:spacing w:line="480" w:lineRule="exact"/>
        <w:ind w:firstLine="472" w:firstLineChars="196"/>
        <w:rPr>
          <w:rFonts w:ascii="宋体" w:cs="宋体"/>
          <w:b/>
          <w:bCs/>
          <w:color w:val="auto"/>
          <w:sz w:val="24"/>
          <w:szCs w:val="24"/>
          <w:highlight w:val="none"/>
        </w:rPr>
      </w:pPr>
      <w:r>
        <w:rPr>
          <w:rFonts w:hint="eastAsia" w:ascii="宋体" w:hAnsi="宋体" w:cs="宋体"/>
          <w:b/>
          <w:bCs/>
          <w:color w:val="auto"/>
          <w:sz w:val="24"/>
          <w:szCs w:val="24"/>
          <w:highlight w:val="none"/>
          <w:lang w:eastAsia="zh-CN"/>
        </w:rPr>
        <w:t>4.</w:t>
      </w:r>
      <w:r>
        <w:rPr>
          <w:rFonts w:hint="eastAsia" w:ascii="宋体" w:hAnsi="宋体" w:cs="宋体"/>
          <w:b/>
          <w:bCs/>
          <w:color w:val="auto"/>
          <w:sz w:val="24"/>
          <w:szCs w:val="24"/>
          <w:highlight w:val="none"/>
        </w:rPr>
        <w:t>供应商可将响应文件正副本统一密封或分别密封，如正本和副本分别密封的，应在封袋上标明正、副本字样。</w:t>
      </w:r>
    </w:p>
    <w:p>
      <w:pPr>
        <w:snapToGrid w:val="0"/>
        <w:spacing w:line="480" w:lineRule="exact"/>
        <w:ind w:firstLine="472" w:firstLineChars="196"/>
        <w:rPr>
          <w:rFonts w:ascii="宋体" w:cs="宋体"/>
          <w:b/>
          <w:bCs/>
          <w:color w:val="auto"/>
          <w:sz w:val="24"/>
          <w:szCs w:val="24"/>
          <w:highlight w:val="none"/>
        </w:rPr>
      </w:pPr>
      <w:r>
        <w:rPr>
          <w:rFonts w:hint="eastAsia" w:ascii="宋体" w:hAnsi="宋体" w:cs="宋体"/>
          <w:b/>
          <w:bCs/>
          <w:color w:val="auto"/>
          <w:sz w:val="24"/>
          <w:szCs w:val="24"/>
          <w:highlight w:val="none"/>
          <w:lang w:eastAsia="zh-CN"/>
        </w:rPr>
        <w:t>5.</w:t>
      </w:r>
      <w:r>
        <w:rPr>
          <w:rFonts w:hint="eastAsia" w:ascii="宋体" w:hAnsi="宋体" w:cs="宋体"/>
          <w:b/>
          <w:bCs/>
          <w:color w:val="auto"/>
          <w:sz w:val="24"/>
          <w:szCs w:val="24"/>
          <w:highlight w:val="none"/>
        </w:rPr>
        <w:t>响应文件中的所有“正本”，其正文内容须按磋商文件要求由供应商法定代表人或被授权人签字（或盖章）并加盖单位公章。“副本”可复印，但须加盖单位公章。</w:t>
      </w:r>
    </w:p>
    <w:p>
      <w:pPr>
        <w:snapToGrid w:val="0"/>
        <w:spacing w:line="480" w:lineRule="exact"/>
        <w:ind w:firstLine="472" w:firstLineChars="196"/>
        <w:rPr>
          <w:rFonts w:ascii="宋体" w:cs="宋体"/>
          <w:b/>
          <w:bCs/>
          <w:color w:val="auto"/>
          <w:sz w:val="24"/>
          <w:szCs w:val="24"/>
          <w:highlight w:val="none"/>
        </w:rPr>
      </w:pPr>
      <w:r>
        <w:rPr>
          <w:rFonts w:hint="eastAsia" w:ascii="宋体" w:hAnsi="宋体" w:cs="宋体"/>
          <w:b/>
          <w:bCs/>
          <w:color w:val="auto"/>
          <w:sz w:val="24"/>
          <w:szCs w:val="24"/>
          <w:highlight w:val="none"/>
        </w:rPr>
        <w:t>六、响应文件的密封及标记</w:t>
      </w:r>
    </w:p>
    <w:p>
      <w:pPr>
        <w:snapToGrid w:val="0"/>
        <w:spacing w:line="480" w:lineRule="exact"/>
        <w:ind w:firstLine="480" w:firstLineChars="200"/>
        <w:rPr>
          <w:rFonts w:ascii="宋体" w:cs="宋体"/>
          <w:color w:val="auto"/>
          <w:sz w:val="24"/>
          <w:szCs w:val="24"/>
          <w:highlight w:val="none"/>
          <w:u w:val="single"/>
        </w:rPr>
      </w:pPr>
      <w:r>
        <w:rPr>
          <w:rFonts w:hint="eastAsia" w:ascii="宋体" w:hAnsi="宋体" w:cs="宋体"/>
          <w:color w:val="auto"/>
          <w:sz w:val="24"/>
          <w:szCs w:val="24"/>
          <w:highlight w:val="none"/>
          <w:lang w:eastAsia="zh-CN"/>
        </w:rPr>
        <w:t>1.</w:t>
      </w:r>
      <w:r>
        <w:rPr>
          <w:rFonts w:hint="eastAsia" w:ascii="宋体" w:hAnsi="宋体" w:cs="宋体"/>
          <w:color w:val="auto"/>
          <w:sz w:val="24"/>
          <w:szCs w:val="24"/>
          <w:highlight w:val="none"/>
        </w:rPr>
        <w:t>供应商须将本项目响应文件：</w:t>
      </w:r>
      <w:r>
        <w:rPr>
          <w:rFonts w:hint="eastAsia" w:ascii="宋体" w:hAnsi="宋体" w:cs="宋体"/>
          <w:b/>
          <w:bCs/>
          <w:color w:val="auto"/>
          <w:sz w:val="24"/>
          <w:szCs w:val="24"/>
          <w:highlight w:val="none"/>
        </w:rPr>
        <w:t>资格审查文件、技术响应文件、商务报价响应文件</w:t>
      </w:r>
      <w:r>
        <w:rPr>
          <w:rFonts w:hint="eastAsia" w:ascii="宋体" w:hAnsi="宋体" w:cs="宋体"/>
          <w:b/>
          <w:color w:val="auto"/>
          <w:sz w:val="24"/>
          <w:szCs w:val="24"/>
          <w:highlight w:val="none"/>
        </w:rPr>
        <w:t>单独密封</w:t>
      </w:r>
      <w:r>
        <w:rPr>
          <w:rFonts w:hint="eastAsia" w:ascii="宋体" w:hAnsi="宋体" w:cs="宋体"/>
          <w:color w:val="auto"/>
          <w:sz w:val="24"/>
          <w:szCs w:val="24"/>
          <w:highlight w:val="none"/>
        </w:rPr>
        <w:t>。</w:t>
      </w:r>
    </w:p>
    <w:p>
      <w:pPr>
        <w:snapToGrid w:val="0"/>
        <w:spacing w:line="480" w:lineRule="exact"/>
        <w:ind w:firstLine="470" w:firstLineChars="196"/>
        <w:rPr>
          <w:rFonts w:ascii="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cs="宋体"/>
          <w:color w:val="auto"/>
          <w:sz w:val="24"/>
          <w:szCs w:val="24"/>
          <w:highlight w:val="none"/>
        </w:rPr>
        <w:t>密封后，应在每一密封的响应文件上明确标注磋商项目名称、响应文件各自对应的名称、供应商的全称及日期。</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cs="宋体"/>
          <w:color w:val="auto"/>
          <w:sz w:val="24"/>
          <w:szCs w:val="24"/>
          <w:highlight w:val="none"/>
        </w:rPr>
        <w:t>在边缝处加盖供应商公章或骑缝签字。</w:t>
      </w:r>
    </w:p>
    <w:p>
      <w:pPr>
        <w:snapToGrid w:val="0"/>
        <w:spacing w:line="480" w:lineRule="exact"/>
        <w:ind w:firstLine="482" w:firstLineChars="200"/>
        <w:rPr>
          <w:rFonts w:ascii="宋体" w:cs="宋体"/>
          <w:b/>
          <w:color w:val="auto"/>
          <w:sz w:val="24"/>
          <w:szCs w:val="24"/>
          <w:highlight w:val="none"/>
        </w:rPr>
      </w:pPr>
      <w:r>
        <w:rPr>
          <w:rFonts w:hint="eastAsia" w:ascii="宋体" w:hAnsi="宋体" w:cs="宋体"/>
          <w:b/>
          <w:color w:val="auto"/>
          <w:sz w:val="24"/>
          <w:szCs w:val="24"/>
          <w:highlight w:val="none"/>
        </w:rPr>
        <w:t>【特别提醒】：</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响应文件中的</w:t>
      </w:r>
      <w:r>
        <w:rPr>
          <w:rFonts w:hint="eastAsia" w:ascii="宋体" w:hAnsi="宋体" w:cs="宋体"/>
          <w:b/>
          <w:bCs/>
          <w:color w:val="auto"/>
          <w:sz w:val="24"/>
          <w:szCs w:val="24"/>
          <w:highlight w:val="none"/>
        </w:rPr>
        <w:t>资格审查文件、技术响应文件</w:t>
      </w:r>
      <w:r>
        <w:rPr>
          <w:rFonts w:hint="eastAsia" w:ascii="宋体" w:hAnsi="宋体" w:cs="宋体"/>
          <w:color w:val="auto"/>
          <w:sz w:val="24"/>
          <w:szCs w:val="24"/>
          <w:highlight w:val="none"/>
        </w:rPr>
        <w:t>的“正本”或“副本”中，均不得含有商务报价响应文件中报价表（报价单）内的任何项目价格，否则作无效响应处理。</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开标程序顺利进行后，所有投标文件都将作为档案保存，不论成交与否，代理机构均不退回（未拆封的除外）。</w:t>
      </w:r>
    </w:p>
    <w:p>
      <w:pPr>
        <w:snapToGrid w:val="0"/>
        <w:spacing w:line="480" w:lineRule="exact"/>
        <w:ind w:firstLine="496" w:firstLineChars="206"/>
        <w:outlineLvl w:val="1"/>
        <w:rPr>
          <w:rFonts w:ascii="宋体" w:cs="宋体"/>
          <w:b/>
          <w:bCs/>
          <w:color w:val="auto"/>
          <w:sz w:val="24"/>
          <w:szCs w:val="24"/>
          <w:highlight w:val="none"/>
        </w:rPr>
      </w:pPr>
      <w:r>
        <w:rPr>
          <w:rFonts w:hint="eastAsia" w:ascii="宋体" w:hAnsi="宋体" w:cs="宋体"/>
          <w:b/>
          <w:bCs/>
          <w:color w:val="auto"/>
          <w:sz w:val="24"/>
          <w:szCs w:val="24"/>
          <w:highlight w:val="none"/>
        </w:rPr>
        <w:t>七、磋商报价</w:t>
      </w:r>
    </w:p>
    <w:p>
      <w:pPr>
        <w:snapToGrid w:val="0"/>
        <w:spacing w:line="480" w:lineRule="exact"/>
        <w:ind w:firstLine="494" w:firstLineChars="206"/>
        <w:rPr>
          <w:rFonts w:ascii="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cs="宋体"/>
          <w:color w:val="auto"/>
          <w:sz w:val="24"/>
          <w:szCs w:val="24"/>
          <w:highlight w:val="none"/>
        </w:rPr>
        <w:t>本项目不接受任何有选择的报价。</w:t>
      </w:r>
    </w:p>
    <w:p>
      <w:pPr>
        <w:snapToGrid w:val="0"/>
        <w:spacing w:line="52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2.</w:t>
      </w:r>
      <w:r>
        <w:rPr>
          <w:rFonts w:hint="eastAsia" w:ascii="宋体" w:hAnsi="宋体" w:eastAsia="宋体" w:cs="宋体"/>
          <w:sz w:val="24"/>
          <w:szCs w:val="24"/>
          <w:highlight w:val="none"/>
        </w:rPr>
        <w:t>磋商报价均以人民币为报价的币种。</w:t>
      </w:r>
    </w:p>
    <w:p>
      <w:pPr>
        <w:snapToGrid w:val="0"/>
        <w:spacing w:line="520" w:lineRule="exact"/>
        <w:ind w:firstLine="480" w:firstLineChars="200"/>
        <w:rPr>
          <w:rFonts w:hint="eastAsia" w:ascii="宋体" w:hAnsi="宋体" w:eastAsia="宋体" w:cs="宋体"/>
          <w:sz w:val="24"/>
          <w:szCs w:val="24"/>
          <w:highlight w:val="none"/>
        </w:rPr>
      </w:pPr>
      <w:r>
        <w:rPr>
          <w:rFonts w:hint="eastAsia" w:ascii="宋体" w:hAnsi="宋体" w:cs="宋体"/>
          <w:sz w:val="24"/>
          <w:szCs w:val="24"/>
          <w:highlight w:val="none"/>
          <w:lang w:eastAsia="zh-CN"/>
        </w:rPr>
        <w:t>3.</w:t>
      </w:r>
      <w:r>
        <w:rPr>
          <w:rFonts w:hint="eastAsia" w:ascii="宋体" w:hAnsi="宋体" w:eastAsia="宋体" w:cs="宋体"/>
          <w:sz w:val="24"/>
          <w:szCs w:val="24"/>
          <w:highlight w:val="none"/>
        </w:rPr>
        <w:t>磋商报价表必须加盖单位公章且必须经法定代表人或被授权人签字或盖章。报价表中的大写金额与小写金额、总价金额与按单价汇总金额，若有差异，将按下列条款执行：</w:t>
      </w:r>
    </w:p>
    <w:p>
      <w:pPr>
        <w:snapToGrid w:val="0"/>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（1）投标文件中开标一览表（报价表）内容与投标文件中相应内容不一致的，以开标一览表（报价表）为准；</w:t>
      </w:r>
    </w:p>
    <w:p>
      <w:pPr>
        <w:snapToGrid w:val="0"/>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（2）大写金额和小写金额不一致的，以大写金额为准；</w:t>
      </w:r>
    </w:p>
    <w:p>
      <w:pPr>
        <w:snapToGrid w:val="0"/>
        <w:spacing w:line="520" w:lineRule="exact"/>
        <w:ind w:firstLine="480" w:firstLineChars="200"/>
        <w:rPr>
          <w:rFonts w:hint="eastAsia" w:ascii="宋体" w:hAnsi="宋体" w:eastAsia="宋体" w:cs="宋体"/>
          <w:sz w:val="24"/>
          <w:szCs w:val="24"/>
          <w:highlight w:val="none"/>
        </w:rPr>
      </w:pPr>
      <w:r>
        <w:rPr>
          <w:rFonts w:hint="eastAsia" w:ascii="宋体" w:hAnsi="宋体" w:eastAsia="宋体" w:cs="宋体"/>
          <w:sz w:val="24"/>
          <w:szCs w:val="24"/>
          <w:highlight w:val="none"/>
        </w:rPr>
        <w:t>（3）单价金额小数点或者百分比有明显错位的，以开标一览表的总价为准，并修改单价；</w:t>
      </w:r>
    </w:p>
    <w:p>
      <w:pPr>
        <w:snapToGrid w:val="0"/>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（4）总价金额与按单价汇总金额不一致的，以单价金额计算结果为准。</w:t>
      </w:r>
    </w:p>
    <w:p>
      <w:pPr>
        <w:snapToGrid w:val="0"/>
        <w:spacing w:line="520" w:lineRule="exact"/>
        <w:ind w:firstLine="480" w:firstLineChars="200"/>
        <w:rPr>
          <w:rFonts w:ascii="宋体" w:hAnsi="宋体" w:eastAsia="宋体" w:cs="宋体"/>
          <w:sz w:val="24"/>
          <w:szCs w:val="24"/>
          <w:highlight w:val="none"/>
        </w:rPr>
      </w:pPr>
      <w:r>
        <w:rPr>
          <w:rFonts w:hint="eastAsia" w:ascii="宋体" w:hAnsi="宋体" w:eastAsia="宋体" w:cs="宋体"/>
          <w:sz w:val="24"/>
          <w:szCs w:val="24"/>
          <w:highlight w:val="none"/>
        </w:rPr>
        <w:t>（5）同时出现两种以上不一致的，按照前款规定的顺序修正。修正后的报价投标供应商确认后产生约束力，投标供应商不确认的，其投标无效。</w:t>
      </w:r>
    </w:p>
    <w:p>
      <w:pPr>
        <w:snapToGrid w:val="0"/>
        <w:spacing w:line="520" w:lineRule="exact"/>
        <w:ind w:firstLine="494" w:firstLineChars="206"/>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eastAsia="宋体" w:cs="宋体"/>
          <w:color w:val="auto"/>
          <w:sz w:val="24"/>
          <w:szCs w:val="24"/>
          <w:highlight w:val="none"/>
        </w:rPr>
        <w:t>本项目采用综合单价报价，供应商应按采购人提供的《项目需求》中列出的要求填报综合单价和合价。每种货物或服务只允许有一个报价。任何有选择的报价将不予接受。供应商未填综合单价或合价的货物或服务，在实施后，采购人将不予以支付任何额外费用，并视为该货物或服务的费用已包括在其他有价款的综合单价或合价内。</w:t>
      </w:r>
    </w:p>
    <w:p>
      <w:pPr>
        <w:snapToGrid w:val="0"/>
        <w:spacing w:line="520" w:lineRule="exact"/>
        <w:ind w:firstLine="494" w:firstLineChars="206"/>
        <w:rPr>
          <w:rFonts w:ascii="宋体" w:hAnsi="宋体" w:cs="宋体"/>
          <w:sz w:val="24"/>
          <w:szCs w:val="24"/>
          <w:highlight w:val="none"/>
        </w:rPr>
      </w:pPr>
      <w:r>
        <w:rPr>
          <w:rFonts w:hint="eastAsia" w:ascii="宋体" w:hAnsi="宋体" w:eastAsia="宋体" w:cs="宋体"/>
          <w:color w:val="auto"/>
          <w:sz w:val="24"/>
          <w:szCs w:val="24"/>
          <w:highlight w:val="none"/>
        </w:rPr>
        <w:t>投标报价包括：项目从实施到提交最终成果并获验收确认通过的所有费用，其中包含完成本项目所需的人工、调研费、设计费、系统建设、资料费、安装调试费、税费、企业管理费、合理利润、为完成本项目所必须的其他辅助工作的相关费用及响应</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文件要求等一切费用，即从项目招标到最终成果提交获得验收通过前的所有费用。</w:t>
      </w:r>
    </w:p>
    <w:p>
      <w:pPr>
        <w:snapToGrid w:val="0"/>
        <w:spacing w:line="520" w:lineRule="exact"/>
        <w:ind w:firstLine="494" w:firstLineChars="206"/>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5.</w:t>
      </w:r>
      <w:r>
        <w:rPr>
          <w:rFonts w:hint="eastAsia" w:ascii="宋体" w:hAnsi="宋体" w:eastAsia="宋体" w:cs="宋体"/>
          <w:color w:val="auto"/>
          <w:sz w:val="24"/>
          <w:szCs w:val="24"/>
          <w:highlight w:val="none"/>
        </w:rPr>
        <w:t>竞争性磋商的最终报价为成交价，同时，成交供应商的成交价在合同实施期间不因市场变化因素而变动。</w:t>
      </w:r>
    </w:p>
    <w:p>
      <w:pPr>
        <w:snapToGrid w:val="0"/>
        <w:spacing w:line="520" w:lineRule="exact"/>
        <w:ind w:firstLine="494" w:firstLineChars="206"/>
        <w:rPr>
          <w:rFonts w:hint="eastAsia" w:ascii="宋体" w:hAnsi="宋体" w:eastAsia="宋体" w:cs="宋体"/>
          <w:color w:val="auto"/>
          <w:sz w:val="24"/>
          <w:szCs w:val="24"/>
          <w:highlight w:val="none"/>
        </w:rPr>
      </w:pPr>
      <w:r>
        <w:rPr>
          <w:rFonts w:hint="eastAsia" w:ascii="宋体" w:hAnsi="宋体" w:cs="宋体"/>
          <w:color w:val="auto"/>
          <w:sz w:val="24"/>
          <w:szCs w:val="24"/>
          <w:highlight w:val="none"/>
          <w:lang w:eastAsia="zh-CN"/>
        </w:rPr>
        <w:t>6.</w:t>
      </w:r>
      <w:r>
        <w:rPr>
          <w:rFonts w:hint="eastAsia" w:ascii="宋体" w:hAnsi="宋体" w:eastAsia="宋体" w:cs="宋体"/>
          <w:color w:val="auto"/>
          <w:sz w:val="24"/>
          <w:szCs w:val="24"/>
          <w:highlight w:val="none"/>
        </w:rPr>
        <w:t>最低的磋商报价是成交的重要条件，但不是成交的唯一条件。</w:t>
      </w:r>
    </w:p>
    <w:p>
      <w:pPr>
        <w:snapToGrid w:val="0"/>
        <w:spacing w:line="520" w:lineRule="exact"/>
        <w:ind w:firstLine="494" w:firstLineChars="206"/>
        <w:rPr>
          <w:rFonts w:ascii="宋体" w:hAnsi="宋体" w:cs="宋体"/>
          <w:color w:val="auto"/>
          <w:sz w:val="24"/>
          <w:szCs w:val="24"/>
          <w:highlight w:val="none"/>
        </w:rPr>
      </w:pPr>
      <w:r>
        <w:rPr>
          <w:rFonts w:hint="eastAsia" w:ascii="宋体" w:hAnsi="宋体" w:cs="宋体"/>
          <w:color w:val="auto"/>
          <w:sz w:val="24"/>
          <w:szCs w:val="24"/>
          <w:highlight w:val="none"/>
          <w:lang w:eastAsia="zh-CN"/>
        </w:rPr>
        <w:t>7.</w:t>
      </w:r>
      <w:r>
        <w:rPr>
          <w:rFonts w:hint="eastAsia" w:ascii="宋体" w:hAnsi="宋体" w:eastAsia="宋体" w:cs="宋体"/>
          <w:color w:val="auto"/>
          <w:sz w:val="24"/>
          <w:szCs w:val="24"/>
          <w:highlight w:val="none"/>
        </w:rPr>
        <w:t>本项目投标供应商独立承担用人风险，自行制订防范用人风险方案。投标供应商自行建立风险管理调控机制，对意</w:t>
      </w:r>
      <w:r>
        <w:rPr>
          <w:rFonts w:hint="eastAsia" w:ascii="宋体" w:hAnsi="宋体" w:cs="宋体"/>
          <w:color w:val="auto"/>
          <w:sz w:val="24"/>
          <w:szCs w:val="24"/>
          <w:highlight w:val="none"/>
        </w:rPr>
        <w:t>外伤害或工伤等风险充分预估，报价时自行考虑，一旦出现上述问题，采购方不承担任何连带赔偿责任。</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eastAsia="zh-CN"/>
        </w:rPr>
        <w:t>8.</w:t>
      </w:r>
      <w:r>
        <w:rPr>
          <w:rFonts w:hint="eastAsia" w:ascii="宋体" w:hAnsi="宋体" w:cs="宋体"/>
          <w:color w:val="auto"/>
          <w:sz w:val="24"/>
          <w:szCs w:val="24"/>
          <w:highlight w:val="none"/>
        </w:rPr>
        <w:t>投标供应商应详细阅读磋商文件的全部内容，根据采购项目需求，准确制定相关工作方案等，必须对本采购项目全部进行报价，如有漏项，视同对本项目的优惠。不按磋商文件的要求提供响应文件，导致报价无效，按无效响应处理。</w:t>
      </w:r>
    </w:p>
    <w:p>
      <w:pPr>
        <w:snapToGrid w:val="0"/>
        <w:spacing w:line="480" w:lineRule="exact"/>
        <w:ind w:firstLine="496" w:firstLineChars="206"/>
        <w:outlineLvl w:val="1"/>
        <w:rPr>
          <w:rFonts w:ascii="宋体" w:cs="宋体"/>
          <w:b/>
          <w:bCs/>
          <w:color w:val="auto"/>
          <w:sz w:val="24"/>
          <w:szCs w:val="24"/>
          <w:highlight w:val="none"/>
        </w:rPr>
      </w:pPr>
      <w:r>
        <w:rPr>
          <w:rFonts w:hint="eastAsia" w:ascii="宋体" w:hAnsi="宋体" w:cs="宋体"/>
          <w:b/>
          <w:bCs/>
          <w:color w:val="auto"/>
          <w:sz w:val="24"/>
          <w:szCs w:val="24"/>
          <w:highlight w:val="none"/>
        </w:rPr>
        <w:t>八、联合体参与磋商</w:t>
      </w:r>
    </w:p>
    <w:p>
      <w:pPr>
        <w:snapToGrid w:val="0"/>
        <w:spacing w:line="480" w:lineRule="exact"/>
        <w:ind w:firstLine="470" w:firstLineChars="196"/>
        <w:outlineLvl w:val="1"/>
        <w:rPr>
          <w:rFonts w:ascii="宋体" w:cs="宋体"/>
          <w:color w:val="auto"/>
          <w:sz w:val="24"/>
          <w:szCs w:val="24"/>
          <w:highlight w:val="none"/>
        </w:rPr>
      </w:pPr>
      <w:r>
        <w:rPr>
          <w:rFonts w:hint="eastAsia" w:ascii="宋体" w:hAnsi="宋体" w:cs="宋体"/>
          <w:color w:val="auto"/>
          <w:sz w:val="24"/>
          <w:szCs w:val="24"/>
          <w:highlight w:val="none"/>
        </w:rPr>
        <w:t>不接受任何形式的联合体参与本项目的竞争性磋商。</w:t>
      </w:r>
    </w:p>
    <w:p>
      <w:pPr>
        <w:snapToGrid w:val="0"/>
        <w:spacing w:line="480" w:lineRule="exact"/>
        <w:ind w:firstLine="482" w:firstLineChars="200"/>
        <w:outlineLvl w:val="1"/>
        <w:rPr>
          <w:rFonts w:ascii="宋体" w:cs="宋体"/>
          <w:color w:val="auto"/>
          <w:sz w:val="24"/>
          <w:szCs w:val="24"/>
          <w:highlight w:val="none"/>
        </w:rPr>
      </w:pPr>
      <w:r>
        <w:rPr>
          <w:rFonts w:hint="eastAsia" w:ascii="宋体" w:hAnsi="宋体" w:cs="宋体"/>
          <w:b/>
          <w:color w:val="auto"/>
          <w:sz w:val="24"/>
          <w:szCs w:val="24"/>
          <w:highlight w:val="none"/>
        </w:rPr>
        <w:t>九、</w:t>
      </w:r>
      <w:r>
        <w:rPr>
          <w:rFonts w:hint="eastAsia" w:ascii="宋体" w:hAnsi="宋体" w:cs="宋体"/>
          <w:b/>
          <w:bCs/>
          <w:color w:val="auto"/>
          <w:sz w:val="24"/>
          <w:szCs w:val="24"/>
          <w:highlight w:val="none"/>
        </w:rPr>
        <w:t>响应文件及</w:t>
      </w:r>
      <w:r>
        <w:rPr>
          <w:rFonts w:hint="eastAsia" w:ascii="宋体" w:hAnsi="宋体" w:cs="宋体"/>
          <w:b/>
          <w:color w:val="auto"/>
          <w:kern w:val="0"/>
          <w:sz w:val="24"/>
          <w:szCs w:val="24"/>
          <w:highlight w:val="none"/>
        </w:rPr>
        <w:t>磋商</w:t>
      </w:r>
      <w:r>
        <w:rPr>
          <w:rFonts w:hint="eastAsia" w:ascii="宋体" w:hAnsi="宋体" w:cs="宋体"/>
          <w:b/>
          <w:bCs/>
          <w:color w:val="auto"/>
          <w:sz w:val="24"/>
          <w:szCs w:val="24"/>
          <w:highlight w:val="none"/>
        </w:rPr>
        <w:t>费用</w:t>
      </w:r>
    </w:p>
    <w:p>
      <w:pPr>
        <w:snapToGrid w:val="0"/>
        <w:spacing w:line="480" w:lineRule="exact"/>
        <w:ind w:firstLine="460" w:firstLineChars="192"/>
        <w:rPr>
          <w:rFonts w:hint="eastAsia" w:ascii="宋体" w:hAnsi="宋体" w:cs="宋体"/>
          <w:color w:val="auto"/>
          <w:sz w:val="24"/>
          <w:szCs w:val="24"/>
          <w:highlight w:val="none"/>
          <w:lang w:val="en-US" w:eastAsia="zh-CN"/>
        </w:rPr>
      </w:pPr>
      <w:r>
        <w:rPr>
          <w:rFonts w:hint="eastAsia" w:ascii="宋体" w:hAnsi="宋体" w:cs="宋体"/>
          <w:color w:val="auto"/>
          <w:sz w:val="24"/>
          <w:szCs w:val="24"/>
          <w:highlight w:val="none"/>
          <w:lang w:val="en-US" w:eastAsia="zh-CN"/>
        </w:rPr>
        <w:t>1.</w:t>
      </w:r>
      <w:r>
        <w:rPr>
          <w:rFonts w:hint="eastAsia" w:ascii="宋体" w:hAnsi="宋体" w:eastAsia="宋体" w:cs="宋体"/>
          <w:b/>
          <w:bCs/>
          <w:color w:val="auto"/>
          <w:sz w:val="24"/>
          <w:szCs w:val="24"/>
          <w:highlight w:val="none"/>
        </w:rPr>
        <w:t>本项目代理服务费由成交供应商支付。代理服务费按《招标代理服务收费管理暂行办法》[2002]1980号的规定标准</w:t>
      </w:r>
      <w:r>
        <w:rPr>
          <w:rFonts w:hint="eastAsia" w:ascii="宋体" w:hAnsi="宋体" w:cs="宋体"/>
          <w:b/>
          <w:bCs/>
          <w:color w:val="auto"/>
          <w:sz w:val="24"/>
          <w:szCs w:val="24"/>
          <w:highlight w:val="none"/>
          <w:lang w:val="en-US" w:eastAsia="zh-CN"/>
        </w:rPr>
        <w:t>7</w:t>
      </w:r>
      <w:r>
        <w:rPr>
          <w:rFonts w:hint="eastAsia" w:ascii="宋体" w:hAnsi="宋体" w:eastAsia="宋体" w:cs="宋体"/>
          <w:b/>
          <w:bCs/>
          <w:color w:val="auto"/>
          <w:sz w:val="24"/>
          <w:szCs w:val="24"/>
          <w:highlight w:val="none"/>
        </w:rPr>
        <w:t>折收费，不足</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000元，按</w:t>
      </w:r>
      <w:r>
        <w:rPr>
          <w:rFonts w:hint="eastAsia" w:ascii="宋体" w:hAnsi="宋体" w:cs="宋体"/>
          <w:b/>
          <w:bCs/>
          <w:color w:val="auto"/>
          <w:sz w:val="24"/>
          <w:szCs w:val="24"/>
          <w:highlight w:val="none"/>
          <w:lang w:val="en-US" w:eastAsia="zh-CN"/>
        </w:rPr>
        <w:t>2</w:t>
      </w:r>
      <w:r>
        <w:rPr>
          <w:rFonts w:hint="eastAsia" w:ascii="宋体" w:hAnsi="宋体" w:eastAsia="宋体" w:cs="宋体"/>
          <w:b/>
          <w:bCs/>
          <w:color w:val="auto"/>
          <w:sz w:val="24"/>
          <w:szCs w:val="24"/>
          <w:highlight w:val="none"/>
        </w:rPr>
        <w:t>000元收费。</w:t>
      </w:r>
    </w:p>
    <w:p>
      <w:pPr>
        <w:snapToGrid w:val="0"/>
        <w:spacing w:line="480" w:lineRule="exact"/>
        <w:ind w:firstLine="460" w:firstLineChars="192"/>
        <w:rPr>
          <w:rFonts w:asci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磋商程序顺利进行后，除供应商的原件可退回外，其余所有的响应文件都将作为档案保存，不论成交与否，代理机构均不退回（未拆封的除外）。</w:t>
      </w:r>
    </w:p>
    <w:p>
      <w:pPr>
        <w:snapToGrid w:val="0"/>
        <w:spacing w:line="480" w:lineRule="exact"/>
        <w:ind w:firstLine="460" w:firstLineChars="192"/>
        <w:rPr>
          <w:rFonts w:asci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无论磋商过程和结果如何，参加项目磋商的供应商自行承担与本次项目磋商有关的全部费用。</w:t>
      </w:r>
    </w:p>
    <w:p>
      <w:pPr>
        <w:snapToGrid w:val="0"/>
        <w:spacing w:line="480" w:lineRule="exact"/>
        <w:ind w:firstLine="496" w:firstLineChars="206"/>
        <w:outlineLvl w:val="1"/>
        <w:rPr>
          <w:rFonts w:ascii="宋体" w:cs="宋体"/>
          <w:b/>
          <w:color w:val="auto"/>
          <w:sz w:val="24"/>
          <w:szCs w:val="24"/>
          <w:highlight w:val="none"/>
        </w:rPr>
      </w:pPr>
      <w:r>
        <w:rPr>
          <w:rFonts w:hint="eastAsia" w:ascii="宋体" w:hAnsi="宋体" w:cs="宋体"/>
          <w:b/>
          <w:color w:val="auto"/>
          <w:sz w:val="24"/>
          <w:szCs w:val="24"/>
          <w:highlight w:val="none"/>
        </w:rPr>
        <w:t>十、未尽事宜</w:t>
      </w:r>
    </w:p>
    <w:p>
      <w:pPr>
        <w:snapToGrid w:val="0"/>
        <w:spacing w:line="360" w:lineRule="auto"/>
        <w:ind w:firstLine="480" w:firstLineChars="200"/>
        <w:rPr>
          <w:rFonts w:ascii="宋体" w:cs="宋体"/>
          <w:color w:val="auto"/>
          <w:sz w:val="24"/>
          <w:szCs w:val="24"/>
          <w:highlight w:val="none"/>
        </w:rPr>
        <w:sectPr>
          <w:type w:val="continuous"/>
          <w:pgSz w:w="11906" w:h="16838"/>
          <w:pgMar w:top="1134" w:right="1134" w:bottom="1134" w:left="1622" w:header="851" w:footer="992" w:gutter="0"/>
          <w:pgNumType w:fmt="numberInDash"/>
          <w:cols w:space="720" w:num="1"/>
          <w:docGrid w:linePitch="312" w:charSpace="0"/>
        </w:sectPr>
      </w:pPr>
      <w:bookmarkStart w:id="44" w:name="_Toc363573855"/>
      <w:r>
        <w:rPr>
          <w:rFonts w:hint="eastAsia" w:ascii="宋体" w:hAnsi="宋体" w:cs="宋体"/>
          <w:color w:val="auto"/>
          <w:sz w:val="24"/>
          <w:szCs w:val="24"/>
          <w:highlight w:val="none"/>
        </w:rPr>
        <w:t>按《</w:t>
      </w:r>
      <w:r>
        <w:rPr>
          <w:rFonts w:hint="eastAsia" w:ascii="宋体" w:hAnsi="宋体" w:cs="宋体"/>
          <w:color w:val="auto"/>
          <w:sz w:val="24"/>
          <w:szCs w:val="24"/>
          <w:highlight w:val="none"/>
          <w:lang w:eastAsia="zh-CN"/>
        </w:rPr>
        <w:t>中华人民共和国政府采购法</w:t>
      </w:r>
      <w:r>
        <w:rPr>
          <w:rFonts w:hint="eastAsia" w:ascii="宋体" w:hAnsi="宋体" w:cs="宋体"/>
          <w:color w:val="auto"/>
          <w:sz w:val="24"/>
          <w:szCs w:val="24"/>
          <w:highlight w:val="none"/>
        </w:rPr>
        <w:t>》及其他有关法律法规的规定执行。</w:t>
      </w:r>
    </w:p>
    <w:p>
      <w:pPr>
        <w:snapToGrid w:val="0"/>
        <w:spacing w:line="360" w:lineRule="auto"/>
        <w:jc w:val="center"/>
        <w:rPr>
          <w:rFonts w:ascii="宋体" w:cs="宋体"/>
          <w:b/>
          <w:i/>
          <w:color w:val="auto"/>
          <w:w w:val="80"/>
          <w:sz w:val="32"/>
          <w:szCs w:val="32"/>
          <w:highlight w:val="none"/>
        </w:rPr>
      </w:pPr>
      <w:r>
        <w:rPr>
          <w:rFonts w:hint="eastAsia" w:ascii="宋体" w:hAnsi="宋体" w:cs="宋体"/>
          <w:b/>
          <w:color w:val="auto"/>
          <w:w w:val="80"/>
          <w:sz w:val="44"/>
          <w:szCs w:val="44"/>
          <w:highlight w:val="none"/>
        </w:rPr>
        <w:t>第三章</w:t>
      </w:r>
      <w:r>
        <w:rPr>
          <w:rFonts w:ascii="宋体" w:hAnsi="宋体" w:cs="宋体"/>
          <w:b/>
          <w:color w:val="auto"/>
          <w:w w:val="80"/>
          <w:sz w:val="44"/>
          <w:szCs w:val="44"/>
          <w:highlight w:val="none"/>
        </w:rPr>
        <w:t xml:space="preserve">  </w:t>
      </w:r>
      <w:bookmarkEnd w:id="34"/>
      <w:bookmarkEnd w:id="35"/>
      <w:bookmarkEnd w:id="36"/>
      <w:bookmarkEnd w:id="37"/>
      <w:bookmarkEnd w:id="38"/>
      <w:bookmarkEnd w:id="39"/>
      <w:bookmarkEnd w:id="40"/>
      <w:bookmarkEnd w:id="41"/>
      <w:bookmarkEnd w:id="42"/>
      <w:bookmarkEnd w:id="43"/>
      <w:r>
        <w:rPr>
          <w:rFonts w:hint="eastAsia" w:ascii="宋体" w:hAnsi="宋体" w:cs="宋体"/>
          <w:b/>
          <w:color w:val="auto"/>
          <w:w w:val="80"/>
          <w:sz w:val="44"/>
          <w:szCs w:val="44"/>
          <w:highlight w:val="none"/>
        </w:rPr>
        <w:t>项目需求</w:t>
      </w:r>
      <w:bookmarkEnd w:id="44"/>
    </w:p>
    <w:p>
      <w:pPr>
        <w:spacing w:line="440" w:lineRule="exact"/>
        <w:ind w:left="-210" w:leftChars="-100" w:firstLine="520" w:firstLineChars="216"/>
        <w:rPr>
          <w:rFonts w:ascii="宋体" w:cs="宋体"/>
          <w:color w:val="auto"/>
          <w:kern w:val="0"/>
          <w:sz w:val="24"/>
          <w:szCs w:val="24"/>
          <w:highlight w:val="none"/>
          <w:lang w:val="zh-CN"/>
        </w:rPr>
      </w:pPr>
      <w:bookmarkStart w:id="45" w:name="_Toc11554641"/>
      <w:bookmarkStart w:id="46" w:name="_Toc94544746"/>
      <w:bookmarkStart w:id="47" w:name="_Toc11499586"/>
      <w:bookmarkStart w:id="48" w:name="_Toc521201599"/>
      <w:bookmarkStart w:id="49" w:name="_Toc8895741"/>
      <w:bookmarkStart w:id="50" w:name="_Toc11500282"/>
      <w:bookmarkStart w:id="51" w:name="_Toc12670505"/>
      <w:bookmarkStart w:id="52" w:name="_Toc521203420"/>
      <w:bookmarkStart w:id="53" w:name="_Toc13803483"/>
      <w:bookmarkStart w:id="54" w:name="_Toc94585342"/>
      <w:bookmarkStart w:id="55" w:name="_Toc94544872"/>
      <w:bookmarkStart w:id="56" w:name="_Toc363573856"/>
      <w:r>
        <w:rPr>
          <w:rFonts w:hint="eastAsia" w:ascii="宋体" w:hAnsi="宋体" w:cs="宋体"/>
          <w:b/>
          <w:color w:val="auto"/>
          <w:sz w:val="24"/>
          <w:szCs w:val="24"/>
          <w:highlight w:val="none"/>
        </w:rPr>
        <w:t>特别提醒：</w:t>
      </w:r>
      <w:r>
        <w:rPr>
          <w:rFonts w:hint="eastAsia" w:ascii="宋体" w:hAnsi="宋体" w:cs="宋体"/>
          <w:b/>
          <w:color w:val="auto"/>
          <w:kern w:val="0"/>
          <w:sz w:val="24"/>
          <w:szCs w:val="24"/>
          <w:highlight w:val="none"/>
          <w:lang w:val="zh-CN"/>
        </w:rPr>
        <w:t>请供应商制作投标响应文件时仔细研究项目需求说明。</w:t>
      </w:r>
      <w:r>
        <w:rPr>
          <w:rFonts w:hint="eastAsia" w:ascii="宋体" w:hAnsi="宋体" w:cs="宋体"/>
          <w:color w:val="auto"/>
          <w:kern w:val="0"/>
          <w:sz w:val="24"/>
          <w:szCs w:val="24"/>
          <w:highlight w:val="none"/>
          <w:lang w:val="zh-CN"/>
        </w:rPr>
        <w:t>供应商不能简单照搬照抄采购单位项目需求说明中的技术要求，必须作实事求是的响应。如照搬照抄项目需求说明中的技术要求，</w:t>
      </w:r>
      <w:r>
        <w:rPr>
          <w:rFonts w:hint="eastAsia" w:ascii="宋体" w:hAnsi="宋体" w:cs="宋体"/>
          <w:color w:val="auto"/>
          <w:kern w:val="0"/>
          <w:sz w:val="24"/>
          <w:szCs w:val="24"/>
          <w:highlight w:val="none"/>
        </w:rPr>
        <w:t>成交</w:t>
      </w:r>
      <w:r>
        <w:rPr>
          <w:rFonts w:hint="eastAsia" w:ascii="宋体" w:hAnsi="宋体" w:cs="宋体"/>
          <w:color w:val="auto"/>
          <w:kern w:val="0"/>
          <w:sz w:val="24"/>
          <w:szCs w:val="24"/>
          <w:highlight w:val="none"/>
          <w:lang w:val="zh-CN"/>
        </w:rPr>
        <w:t>后供应商在同采购单位签订合同和履约环节中不得提出异议，一切后果和损失由</w:t>
      </w:r>
      <w:r>
        <w:rPr>
          <w:rFonts w:hint="eastAsia" w:ascii="宋体" w:hAnsi="宋体" w:cs="宋体"/>
          <w:color w:val="auto"/>
          <w:kern w:val="0"/>
          <w:sz w:val="24"/>
          <w:szCs w:val="24"/>
          <w:highlight w:val="none"/>
        </w:rPr>
        <w:t>成交</w:t>
      </w:r>
      <w:r>
        <w:rPr>
          <w:rFonts w:hint="eastAsia" w:ascii="宋体" w:hAnsi="宋体" w:cs="宋体"/>
          <w:color w:val="auto"/>
          <w:kern w:val="0"/>
          <w:sz w:val="24"/>
          <w:szCs w:val="24"/>
          <w:highlight w:val="none"/>
          <w:lang w:val="zh-CN"/>
        </w:rPr>
        <w:t>供应商承担。如供应商提供的货物和服务同采购单位提出的项目需求说明中的技术要求不同的，必须在《技术条款响应一览表》上明示，如不明示的视同完全响应。</w:t>
      </w:r>
    </w:p>
    <w:p>
      <w:pPr>
        <w:keepNext w:val="0"/>
        <w:keepLines w:val="0"/>
        <w:pageBreakBefore w:val="0"/>
        <w:widowControl w:val="0"/>
        <w:kinsoku/>
        <w:wordWrap/>
        <w:overflowPunct/>
        <w:topLinePunct w:val="0"/>
        <w:autoSpaceDE/>
        <w:autoSpaceDN/>
        <w:bidi w:val="0"/>
        <w:adjustRightInd/>
        <w:spacing w:after="120" w:line="360" w:lineRule="auto"/>
        <w:textAlignment w:val="auto"/>
        <w:rPr>
          <w:color w:val="auto"/>
          <w:sz w:val="24"/>
          <w:szCs w:val="24"/>
          <w:highlight w:val="none"/>
        </w:rPr>
      </w:pPr>
    </w:p>
    <w:p>
      <w:pPr>
        <w:rPr>
          <w:rFonts w:asciiTheme="minorEastAsia" w:hAnsiTheme="minorEastAsia"/>
          <w:b/>
          <w:sz w:val="28"/>
          <w:szCs w:val="28"/>
        </w:rPr>
      </w:pPr>
      <w:r>
        <w:rPr>
          <w:rFonts w:hint="eastAsia" w:asciiTheme="minorEastAsia" w:hAnsiTheme="minorEastAsia"/>
          <w:b/>
          <w:sz w:val="28"/>
          <w:szCs w:val="28"/>
        </w:rPr>
        <w:t>一、项目需实现的功能或者目标</w:t>
      </w:r>
    </w:p>
    <w:p>
      <w:pPr>
        <w:spacing w:line="440" w:lineRule="exact"/>
        <w:ind w:left="-210" w:leftChars="-100" w:firstLine="518" w:firstLineChars="216"/>
        <w:rPr>
          <w:rFonts w:hint="eastAsia" w:ascii="宋体" w:hAnsi="宋体" w:cs="宋体"/>
          <w:color w:val="auto"/>
          <w:kern w:val="0"/>
          <w:sz w:val="24"/>
          <w:szCs w:val="24"/>
          <w:highlight w:val="none"/>
          <w:lang w:val="zh-CN"/>
        </w:rPr>
      </w:pPr>
      <w:r>
        <w:rPr>
          <w:rFonts w:hint="eastAsia" w:ascii="宋体" w:hAnsi="宋体" w:cs="宋体"/>
          <w:color w:val="auto"/>
          <w:kern w:val="0"/>
          <w:sz w:val="24"/>
          <w:szCs w:val="24"/>
          <w:highlight w:val="none"/>
          <w:lang w:val="zh-CN"/>
        </w:rPr>
        <w:t>依据国卫办医函【2020】624号文要求，将51个单病种数据上报至《国家医疗质量管理与控制信息网》；并对51个上报病种进行监测防止数据漏报；对医院的病种病指标进行监测，提高病病种的医疗质量及管理水平。</w:t>
      </w:r>
    </w:p>
    <w:p>
      <w:pPr>
        <w:numPr>
          <w:ilvl w:val="0"/>
          <w:numId w:val="0"/>
        </w:numPr>
        <w:rPr>
          <w:rFonts w:asciiTheme="minorEastAsia" w:hAnsiTheme="minorEastAsia"/>
          <w:b/>
          <w:sz w:val="28"/>
          <w:szCs w:val="28"/>
        </w:rPr>
      </w:pPr>
      <w:r>
        <w:rPr>
          <w:rFonts w:hint="eastAsia" w:asciiTheme="minorEastAsia" w:hAnsiTheme="minorEastAsia"/>
          <w:b/>
          <w:sz w:val="28"/>
          <w:szCs w:val="28"/>
          <w:lang w:val="en-US" w:eastAsia="zh-CN"/>
        </w:rPr>
        <w:t>二、</w:t>
      </w:r>
      <w:r>
        <w:rPr>
          <w:rFonts w:hint="eastAsia" w:asciiTheme="minorEastAsia" w:hAnsiTheme="minorEastAsia"/>
          <w:b/>
          <w:sz w:val="28"/>
          <w:szCs w:val="28"/>
        </w:rPr>
        <w:t>项目需执行的国家相关标准规范</w:t>
      </w:r>
    </w:p>
    <w:p>
      <w:pPr>
        <w:ind w:firstLine="482" w:firstLineChars="200"/>
        <w:rPr>
          <w:rFonts w:asciiTheme="minorEastAsia" w:hAnsiTheme="minorEastAsia"/>
          <w:b/>
          <w:sz w:val="24"/>
          <w:szCs w:val="24"/>
        </w:rPr>
      </w:pPr>
      <w:r>
        <w:rPr>
          <w:rFonts w:hint="eastAsia" w:asciiTheme="minorEastAsia" w:hAnsiTheme="minorEastAsia"/>
          <w:b/>
          <w:sz w:val="24"/>
          <w:szCs w:val="24"/>
        </w:rPr>
        <w:t>文件要求：</w:t>
      </w:r>
    </w:p>
    <w:p>
      <w:pPr>
        <w:spacing w:line="520" w:lineRule="exact"/>
        <w:ind w:firstLine="480" w:firstLineChars="200"/>
        <w:rPr>
          <w:rFonts w:hint="eastAsia" w:ascii="宋体" w:hAnsi="宋体" w:eastAsia="宋体" w:cs="宋体"/>
          <w:sz w:val="24"/>
          <w:szCs w:val="24"/>
        </w:rPr>
      </w:pPr>
      <w:r>
        <w:rPr>
          <w:rFonts w:hint="eastAsia" w:ascii="仿宋" w:hAnsi="仿宋" w:eastAsia="仿宋" w:cs="仿宋"/>
          <w:sz w:val="24"/>
          <w:szCs w:val="24"/>
        </w:rPr>
        <w:t>《</w:t>
      </w:r>
      <w:r>
        <w:rPr>
          <w:rFonts w:hint="eastAsia" w:ascii="宋体" w:hAnsi="宋体" w:eastAsia="宋体" w:cs="宋体"/>
          <w:sz w:val="24"/>
          <w:szCs w:val="24"/>
        </w:rPr>
        <w:t>国家卫生健康委办公厅关于进一步加强单病种质量管理与控件工作的通知》国卫办医函【2020】624号文</w:t>
      </w:r>
    </w:p>
    <w:p>
      <w:pPr>
        <w:ind w:firstLine="560"/>
        <w:rPr>
          <w:rFonts w:asciiTheme="minorEastAsia" w:hAnsiTheme="minorEastAsia"/>
          <w:b/>
          <w:bCs/>
          <w:iCs/>
          <w:color w:val="000000" w:themeColor="text1"/>
          <w:sz w:val="24"/>
          <w:szCs w:val="24"/>
        </w:rPr>
      </w:pPr>
      <w:r>
        <w:rPr>
          <w:rFonts w:hint="eastAsia" w:asciiTheme="minorEastAsia" w:hAnsiTheme="minorEastAsia"/>
          <w:b/>
          <w:bCs/>
          <w:iCs/>
          <w:color w:val="000000" w:themeColor="text1"/>
          <w:sz w:val="24"/>
          <w:szCs w:val="24"/>
        </w:rPr>
        <w:t>执行标准：</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《中国卫生统计调查制度》</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《国家卫生数据字典》</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《公共卫生信息系统建设方案》</w:t>
      </w:r>
    </w:p>
    <w:p>
      <w:pPr>
        <w:spacing w:line="520" w:lineRule="exact"/>
        <w:ind w:firstLine="480" w:firstLineChars="200"/>
        <w:rPr>
          <w:rFonts w:hint="eastAsia" w:ascii="宋体" w:hAnsi="宋体" w:eastAsia="宋体" w:cs="宋体"/>
          <w:sz w:val="24"/>
          <w:szCs w:val="24"/>
          <w:lang w:val="en-US" w:eastAsia="zh-CN"/>
        </w:rPr>
      </w:pPr>
      <w:r>
        <w:rPr>
          <w:rFonts w:hint="eastAsia" w:ascii="宋体" w:hAnsi="宋体" w:eastAsia="宋体" w:cs="宋体"/>
          <w:sz w:val="24"/>
          <w:szCs w:val="24"/>
        </w:rPr>
        <w:t>《国家医疗质量管理与控制信息网》上报要求</w:t>
      </w:r>
    </w:p>
    <w:p>
      <w:pPr>
        <w:numPr>
          <w:ilvl w:val="0"/>
          <w:numId w:val="0"/>
        </w:numPr>
        <w:rPr>
          <w:rFonts w:hint="eastAsia" w:asciiTheme="minorEastAsia" w:hAnsiTheme="minorEastAsia"/>
          <w:b/>
          <w:sz w:val="28"/>
          <w:szCs w:val="28"/>
          <w:lang w:val="en-US" w:eastAsia="zh-CN"/>
        </w:rPr>
      </w:pPr>
      <w:r>
        <w:rPr>
          <w:rFonts w:hint="eastAsia" w:asciiTheme="minorEastAsia" w:hAnsiTheme="minorEastAsia"/>
          <w:b/>
          <w:sz w:val="28"/>
          <w:szCs w:val="28"/>
          <w:lang w:val="en-US" w:eastAsia="zh-CN"/>
        </w:rPr>
        <w:t>三、</w:t>
      </w:r>
      <w:r>
        <w:rPr>
          <w:rFonts w:hint="eastAsia" w:asciiTheme="minorEastAsia" w:hAnsiTheme="minorEastAsia"/>
          <w:b/>
          <w:sz w:val="28"/>
          <w:szCs w:val="28"/>
        </w:rPr>
        <w:t>项目需满足的质量、安全、技术规格、物理特性等要求</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 xml:space="preserve">系统必须为B/S架构，支持HIS、EMR、临床路径等系统对本系统功能的调用，方便医生在工作站上调用单病种相关功能，必须全数据项鼠标点选功能，方便单病种信息的上报和查询； </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（2）</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系统要包含单病种上报、漏报患者查询、排除患者查询、病种上报范围设置、单病默认值设置、病种分析、用户管理、角色管理、系统管理、数据备份等功能模块；</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（3）*系统自带ETL工具，可根据医院实际需求灵活调整接口配置。</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（4）*系统支持自动同步国家平台模板，能实时保证与国家平台上报模版同步更新。</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（5）*系统支持上报项目的严格验证，必填项醒目标识。</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（6）*系统支持对病种患者的智能抓取，自动筛选，自动排重。</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（7）*系统支持对所有填报项目的预置功能，减轻医师重复填报的工作量，方便填写。</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（8）*系统支持支持患者排除原因分类及填报要求展示。</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（9）*系统支持每天定时自动上传国家平台。</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（10）*系统支持数据暂存功能，并单独列出暂存数据，方便续填。</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（11）*系统支持精细化的角色权限管理，可细化至科室、医师。</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（12）*系统支持2020等级评审第二部份第四节的指标产出。</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系统中的单病种上报种类必须包括国家公布的51个病种：急性心肌梗死（ST 段抬高型，首次住院）（STEMI）、 心力衰竭（HF）、冠状动脉旁路移植术（CABG）、脑梗死（首次 住院）（STK）、短暂性脑缺血发作（TIA）、社区获得性肺炎（成 人，首次住院）（CAP）、社区获得性肺炎（儿童，首次住院）（CAP2）、 慢性阻塞性肺疾病急性发作（住院）（AECOPD）、髋关节置换术 （THR）、膝关节置换术（TKR）、剖宫产（CS）、肺癌（手术治疗） （LC）、甲状腺癌（手术治疗）（TC）、乳腺癌（手术治疗）（BC）、 围手术期预防感染（PIP）、围手术期预防深静脉血栓栓塞（DVT）、 住院精神疾病（HBIPS）、房颤（AF）、主动脉瓣置换术（AVR）、 二尖瓣置换术（MVR）、房间隔缺损手术（ASD）、室间隔缺损手 术（VSD）、出血性卒中（ICH）、脑膜瘤（初发手术治疗）（MEN）、 胶质瘤（初发，手术治疗）（GLI）、垂体腺瘤（初发，手术治疗） （PA）、急性动脉瘤性蛛网膜下腔出血（aSAH）、惊厥性癫痫持 续状态（CSE）、帕金森病（PD）、哮喘（成人，急性发作，住院） （CAC）、异位妊娠（手术治疗）（EP）、子宫肌瘤（手术治疗） （UM）、胃癌（手术治疗）（GC）、甲状腺结节（手术治疗）（TN）、 中高危风险患者预防静脉血栓栓塞症(VTE)、严重脓毒症和脓毒 症休克（SEP）早期治疗、哮喘（儿童，住院）（CAC2）、发育性髋关节发育不 良（手术治疗）（DDH）、结肠癌（手术治疗）（CoC）、糖尿病肾 病（DKD）、儿童急性淋巴细胞白血病（初始诱导化疗）（ALL）、 儿童急性早幼粒细胞白血病（初始化疗）（APL）、终末期肾病血 液透析（ESRD-HD）、终末期肾病腹膜透析（ESRD-PD）、原发性 急性闭角型青光眼（手术治疗）（PACG）、复杂性视网膜脱离（RD）、 腮腺肿瘤（手术治疗）（PT）、舌鳞状细胞癌（手术治疗）（TCSS）、 口腔种植术（OIT）、宫颈癌（手术治疗）（CC）、HBV 感染母婴 阻断；</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）系统要能够针对每一个单病种以及每一项控制指标给与详细的信息录入；</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5</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系统中上报的单病种类型要包含2020版综合医院等级评审所需单病种类型；上报的单病种数据必须能通过国家单病种平台前置机实现自动上报。</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6</w:t>
      </w:r>
      <w:r>
        <w:rPr>
          <w:rFonts w:hint="eastAsia" w:asciiTheme="minorEastAsia" w:hAnsiTheme="minorEastAsia" w:eastAsiaTheme="minorEastAsia" w:cstheme="minorEastAsia"/>
          <w:sz w:val="24"/>
          <w:szCs w:val="24"/>
        </w:rPr>
        <w:t>）每一个单病种上报的各项指标必须满足医院等级评审对单病种控制的要求；</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7</w:t>
      </w:r>
      <w:r>
        <w:rPr>
          <w:rFonts w:hint="eastAsia" w:asciiTheme="minorEastAsia" w:hAnsiTheme="minorEastAsia" w:eastAsiaTheme="minorEastAsia" w:cstheme="minorEastAsia"/>
          <w:sz w:val="24"/>
          <w:szCs w:val="24"/>
        </w:rPr>
        <w:t>）每个单病种上报的内容要包括填报信息、基本信息、过程质量、调查与评价等功能模块，单病种上报必须能够支持调用接口的功能；</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（1</w:t>
      </w:r>
      <w:r>
        <w:rPr>
          <w:rFonts w:hint="eastAsia" w:asciiTheme="minorEastAsia" w:hAnsiTheme="minorEastAsia" w:eastAsiaTheme="minorEastAsia" w:cstheme="minorEastAsia"/>
          <w:sz w:val="24"/>
          <w:szCs w:val="24"/>
          <w:lang w:val="en-US" w:eastAsia="zh-CN"/>
        </w:rPr>
        <w:t>8</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Cs/>
          <w:sz w:val="24"/>
          <w:szCs w:val="24"/>
        </w:rPr>
        <w:t>慢性阻塞性肺疾病急性发作（住院）</w:t>
      </w:r>
      <w:r>
        <w:rPr>
          <w:rFonts w:hint="eastAsia" w:asciiTheme="minorEastAsia" w:hAnsiTheme="minorEastAsia" w:eastAsiaTheme="minorEastAsia" w:cstheme="minorEastAsia"/>
          <w:sz w:val="24"/>
          <w:szCs w:val="24"/>
        </w:rPr>
        <w:t>共分为12个部分: 基本信息、AECOPD-1:患者入院病情评估、AECOPD-2:危重患者收住ICU情况、AECOPD-3:氧疗使用情况、AECOPD-4:抗菌药物使用情况、AECOPD-5:支气管舒张剂、糖皮质激素使用情况、AECOPD-6:合并症处理情况、AECOPD-7:危重患者使用无创或有创机械通气治疗情况、AECOPD-8:住院期间为患者提供健康教育与出院时提供教育告知情况、AECOPD-9:离院方式、AECOPD-10:患者对服务的体验与评价、AECOPD-11:住院费用。</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19</w:t>
      </w:r>
      <w:r>
        <w:rPr>
          <w:rFonts w:hint="eastAsia" w:asciiTheme="minorEastAsia" w:hAnsiTheme="minorEastAsia" w:eastAsiaTheme="minorEastAsia" w:cstheme="minorEastAsia"/>
          <w:sz w:val="24"/>
          <w:szCs w:val="24"/>
        </w:rPr>
        <w:t>）哮喘（成人，急性发作，住院）</w:t>
      </w:r>
      <w:r>
        <w:rPr>
          <w:rFonts w:hint="eastAsia" w:asciiTheme="minorEastAsia" w:hAnsiTheme="minorEastAsia" w:eastAsiaTheme="minorEastAsia" w:cstheme="minorEastAsia"/>
          <w:bCs/>
          <w:sz w:val="24"/>
          <w:szCs w:val="24"/>
        </w:rPr>
        <w:t>共分为15个部分: 基本信息、CAC-1:患者入院病情评估、CAC-2:入住ICU/RCU情况、CAC-3:氧疗使用情况、CAC-4:雾化吸入治疗使用情况、CAC-5:全身糖皮质激素治疗使用情况、CAC-6:控制药物使用情况、CAC-7:茶碱制剂使用情况、CAC-8:抗菌药物使用情况、CAC-9:危重症患者使用机械通气情况、CAC-10:并发症、合并症处理情况、CAC-11:住院期间为患者提供健康教育与出院时提供教育告知五要素情况、CAC-12:离院方式、CAC-13:患者对服务的体验与评价、CAC-14:住院费用。</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r>
        <w:rPr>
          <w:rFonts w:hint="eastAsia" w:asciiTheme="minorEastAsia" w:hAnsiTheme="minorEastAsia" w:eastAsiaTheme="minorEastAsia" w:cstheme="minorEastAsia"/>
          <w:bCs/>
          <w:sz w:val="24"/>
          <w:szCs w:val="24"/>
          <w:lang w:val="en-US" w:eastAsia="zh-CN"/>
        </w:rPr>
        <w:t>0</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哮喘（儿童，住院）</w:t>
      </w:r>
      <w:r>
        <w:rPr>
          <w:rFonts w:hint="eastAsia" w:asciiTheme="minorEastAsia" w:hAnsiTheme="minorEastAsia" w:eastAsiaTheme="minorEastAsia" w:cstheme="minorEastAsia"/>
          <w:bCs/>
          <w:sz w:val="24"/>
          <w:szCs w:val="24"/>
        </w:rPr>
        <w:t>共分为10个部分: 基本信息、CAC2-1:入院标准、CAC2-2:初始治疗情况、CAC2-3:控制药物使用、CAC2-4:吸入与全身糖皮质激素治疗使用情况、CAC2-5:出院带药情况、CAC2-6:住院期间为患儿/患儿家长提供健康教育与出院时提供教育告知五要素情况、CAC2-7:离院方式、CAC2-8:患儿家长对服务的体验与评价、CAC2-9:住院费用。</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社区获得性肺炎（儿童，首次住院）</w:t>
      </w:r>
      <w:r>
        <w:rPr>
          <w:rFonts w:hint="eastAsia" w:asciiTheme="minorEastAsia" w:hAnsiTheme="minorEastAsia" w:eastAsiaTheme="minorEastAsia" w:cstheme="minorEastAsia"/>
          <w:bCs/>
          <w:sz w:val="24"/>
          <w:szCs w:val="24"/>
        </w:rPr>
        <w:t>共分为13个部分: 基本信息、Cap-1:患儿入院病情评估、Cap-2:首次氧合评估情况、Cap-3:重症肺炎（重症+ICU/RCU）住院后首剂抗菌药物治疗前采集标本情况、Cap-4:抗菌药物使用情况、Cap-5:经验性抗感染治疗选择药物种类、Cap-6:初始治疗评价无效患儿重复病原学检查与病原针对性治疗情况、Cap-7:选择使用呼吸支持治疗情况、CAC2-8:住院期间为患儿/患儿家长提供健康教育与出院时提供教育告知五要素情况、CAC2-9:离院方式、CAC2-10:患儿家长对服务的体验与评价、CAC2-11:抗菌药物疗程（天数）、CAC2-12:住院费用。</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社区获得性肺炎（成人，首次住院）</w:t>
      </w:r>
      <w:r>
        <w:rPr>
          <w:rFonts w:hint="eastAsia" w:asciiTheme="minorEastAsia" w:hAnsiTheme="minorEastAsia" w:eastAsiaTheme="minorEastAsia" w:cstheme="minorEastAsia"/>
          <w:bCs/>
          <w:sz w:val="24"/>
          <w:szCs w:val="24"/>
        </w:rPr>
        <w:t>共分为12个部分: 基本信息、CAP-1:患儿入院病情评估、CAP-2:首次氧合评估情况、CAP-3:治疗前病原学诊断情况、CAP-4:抗菌药物使用情况、CAP-5:初始治疗评价无效患者病原学重复检查情况、CAP-7:住院期间为患者提供健康教育与出院时提供教育告知五要素情况、CAP-8:离院方式、CAP-9:患者对服务的体验与评价、CAP-10:抗菌药物使用天数、CAP-11:住院费用。</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Cs/>
          <w:sz w:val="24"/>
          <w:szCs w:val="24"/>
        </w:rPr>
        <w:t>（2</w:t>
      </w: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sz w:val="24"/>
          <w:szCs w:val="24"/>
        </w:rPr>
        <w:t>急性心肌梗死（ST段抬高型，首次住院）共分为12个部分: 基本信息、STEMI-1:到达医院后首剂双联抗血小板药物使用情况、STEMI-2:左心室射血分数、STEMI-3:再灌注治疗、STEMI-4:到达医院后β受体阻滞剂使用情况、STEMI-5:住院期间β受体阻滞剂、双联抗血小板药物、血管紧张素转化酶抑制剂(ACEI)或 血管紧张素受体阻断剂(ARB)、他汀类药物使用情况、STEMI-6:出院时继续使用阿司匹林、β-阻滞剂、ACEI/ARB、他汀类药物有明示（无禁忌症者）、STEMI-7:血脂评价与管理、STEMI-8:住院期间为患者提供健康教育与出院时提供教育告知五要素情况、STEMI-9:离院方式、STEMI-10:患者对服务的体验与评价、STEMI-11:住院费用。</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r>
        <w:rPr>
          <w:rFonts w:hint="eastAsia" w:asciiTheme="minorEastAsia" w:hAnsiTheme="minorEastAsia" w:eastAsiaTheme="minorEastAsia" w:cstheme="minorEastAsia"/>
          <w:bCs/>
          <w:sz w:val="24"/>
          <w:szCs w:val="24"/>
          <w:lang w:val="en-US" w:eastAsia="zh-CN"/>
        </w:rPr>
        <w:t>4</w:t>
      </w:r>
      <w:r>
        <w:rPr>
          <w:rFonts w:hint="eastAsia" w:asciiTheme="minorEastAsia" w:hAnsiTheme="minorEastAsia" w:eastAsiaTheme="minorEastAsia" w:cstheme="minorEastAsia"/>
          <w:bCs/>
          <w:sz w:val="24"/>
          <w:szCs w:val="24"/>
        </w:rPr>
        <w:t>）心力衰竭共分为13个部分: 基本信息、HF-1:左心室射血分数左心室功能评价与检测B型利钠肽实施情况、HF-2:到达医院后利尿剂使用情况、HF-3:肾素-血管紧张素系统抑制剂使用情况、HF-4:到达医院后β受体阻滞剂情况、HF-5:到达医院后醛固酮拮抗剂使用情况、HF-6:住院期间利尿剂、ACEI/ARB、β受体阻滞剂、醛固酮拮抗剂使用情况、HF-7:出院时利尿剂、ACEI/ARB、β受体阻滞剂、醛固酮拮抗剂使用情况、HF-8:离院方式、HF-9:住院期间为患者提供健康教育与出院时提供教育告知五要素情况、HF-10:患者对服务的体验与评价、HF-11:慢性HFrEF患者的心脏植入型电子器械治疗临床应用符合适应症、HF-12:住院费用。</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bCs/>
          <w:sz w:val="24"/>
          <w:szCs w:val="24"/>
        </w:rPr>
        <w:t>）冠状动脉旁路移植术共分为14个部分: 基本信息、CABG-1:术前评估、CABG-2:手术适应症与急症手术指征、CABG-3:首根血管桥材料选择、CABG-4:预防抗菌药应用时机、CABG-5:术后应用抗血小板药物情况、CABG-6:术后发生活动性出血、血肿，再手术情况、CABG-7:术后并发证、CABG-8:出院时阿司匹林、β受体阻滞剂、他汀类药物使用情况、CABG-9:住院期间为患者提供术前、术后健康教育与出院时提供教育告知五要素情况、CABG-10:手术切口愈合情况、CABG-11:离院方式、CABG-12:患者对服务的体验与评价、CABG-13:住院费用。</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r>
        <w:rPr>
          <w:rFonts w:hint="eastAsia" w:asciiTheme="minorEastAsia" w:hAnsiTheme="minorEastAsia" w:eastAsiaTheme="minorEastAsia" w:cstheme="minorEastAsia"/>
          <w:bCs/>
          <w:sz w:val="24"/>
          <w:szCs w:val="24"/>
          <w:lang w:val="en-US" w:eastAsia="zh-CN"/>
        </w:rPr>
        <w:t>6</w:t>
      </w:r>
      <w:r>
        <w:rPr>
          <w:rFonts w:hint="eastAsia" w:asciiTheme="minorEastAsia" w:hAnsiTheme="minorEastAsia" w:eastAsiaTheme="minorEastAsia" w:cstheme="minorEastAsia"/>
          <w:bCs/>
          <w:sz w:val="24"/>
          <w:szCs w:val="24"/>
        </w:rPr>
        <w:t>）房颤共分为13个部分: 基本信息、AF-1:风险评估、AF-2:抗凝药物使用情况、AF-3:抗心律失常药物使用情况、AF-4:ACEI/ARB、β受体阻滞剂、醛固酮拮抗剂使用情况、AF-5: 房颤患者接受非药物治疗情况、AF-6: 出院时抗凝药物使用情况、AF-7:住院期间为患者提供健康教育与出院时提供教育告知五要素情况、AF-8: 离院方式、AF-9:患者对服务的体验与评价、AF-10:住院费用。</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r>
        <w:rPr>
          <w:rFonts w:hint="eastAsia" w:asciiTheme="minorEastAsia" w:hAnsiTheme="minorEastAsia" w:eastAsiaTheme="minorEastAsia" w:cstheme="minorEastAsia"/>
          <w:bCs/>
          <w:sz w:val="24"/>
          <w:szCs w:val="24"/>
          <w:lang w:val="en-US" w:eastAsia="zh-CN"/>
        </w:rPr>
        <w:t>7</w:t>
      </w:r>
      <w:r>
        <w:rPr>
          <w:rFonts w:hint="eastAsia" w:asciiTheme="minorEastAsia" w:hAnsiTheme="minorEastAsia" w:eastAsiaTheme="minorEastAsia" w:cstheme="minorEastAsia"/>
          <w:bCs/>
          <w:sz w:val="24"/>
          <w:szCs w:val="24"/>
        </w:rPr>
        <w:t>）主动脉瓣置换术共分为13个部分: 基本信息、AVR-1:术前评估、AVR-2:手术适应证、AVR-3:术中验证主动脉瓣置换术效果的措施、AVR-4:围术期抗菌药物使用情况、AVR-5: 术后活动性出血或血肿再手术情况、AVR-6: 术后并发症、AVR-7:出院时华法林使用情况、AVR-8: 住院期间为患者提供术前、术后健康教育与出院时提供教育告知五要素情况、AVR-9:手术切口愈合情况、AVR-10:离院方式、AVR-11: 患者对服务的体验与评价、AVR-12: 住院费用。</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（2</w:t>
      </w:r>
      <w:r>
        <w:rPr>
          <w:rFonts w:hint="eastAsia" w:asciiTheme="minorEastAsia" w:hAnsiTheme="minorEastAsia" w:eastAsiaTheme="minorEastAsia" w:cstheme="minorEastAsia"/>
          <w:bCs/>
          <w:sz w:val="24"/>
          <w:szCs w:val="24"/>
          <w:lang w:val="en-US" w:eastAsia="zh-CN"/>
        </w:rPr>
        <w:t>8</w:t>
      </w:r>
      <w:r>
        <w:rPr>
          <w:rFonts w:hint="eastAsia" w:asciiTheme="minorEastAsia" w:hAnsiTheme="minorEastAsia" w:eastAsiaTheme="minorEastAsia" w:cstheme="minorEastAsia"/>
          <w:bCs/>
          <w:sz w:val="24"/>
          <w:szCs w:val="24"/>
        </w:rPr>
        <w:t>）二尖瓣置换术共分为13个部分: 基本信息、MVR-1:术前评估、MVR-2:手术适应证、MVR-3:术中验证二尖瓣置换术效果的措施、MVR-4:预防抗菌药物应用时机、MVR-5: 术后活动性出血或血肿再手术情况、MVR-6: 术后并发症、MVR-7:出院时华法林使用情况、MVR-8: 住院期间为患者提供术前、术后健康教育与出院时提供教育告知五要素情况、MVR-9:手术切口愈合情况、MVR-10:离院方式、MVR-11: 患者对服务的体验与评价、MVR-12: 住院费用。</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29</w:t>
      </w:r>
      <w:r>
        <w:rPr>
          <w:rFonts w:hint="eastAsia" w:asciiTheme="minorEastAsia" w:hAnsiTheme="minorEastAsia" w:eastAsiaTheme="minorEastAsia" w:cstheme="minorEastAsia"/>
          <w:bCs/>
          <w:sz w:val="24"/>
          <w:szCs w:val="24"/>
        </w:rPr>
        <w:t>）房间隔缺损手术共分为12个部分: 基本信息、ASD-1:术前评估、ASD-2:手术适应证、ASD-3:术中验证房间隔缺损手术效果的措施、ASD-4:围术期抗菌药物应用情况、ASD-5: 术后活动性出血或血肿再手术情况、ASD-6:手术后并发症、ASD-7: 住院期间为患者提供术前、术后健康教育与出院时提供教育告知五要素情况、ASD-8:手术切口愈合情况、ASD-9:离院方式、ASD-10: 患者对服务的体验与评价、ASD-11: 住院费用。</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w:t>
      </w:r>
      <w:r>
        <w:rPr>
          <w:rFonts w:hint="eastAsia" w:asciiTheme="minorEastAsia" w:hAnsiTheme="minorEastAsia" w:eastAsiaTheme="minorEastAsia" w:cstheme="minorEastAsia"/>
          <w:bCs/>
          <w:sz w:val="24"/>
          <w:szCs w:val="24"/>
          <w:lang w:val="en-US" w:eastAsia="zh-CN"/>
        </w:rPr>
        <w:t>0</w:t>
      </w:r>
      <w:r>
        <w:rPr>
          <w:rFonts w:hint="eastAsia" w:asciiTheme="minorEastAsia" w:hAnsiTheme="minorEastAsia" w:eastAsiaTheme="minorEastAsia" w:cstheme="minorEastAsia"/>
          <w:bCs/>
          <w:sz w:val="24"/>
          <w:szCs w:val="24"/>
        </w:rPr>
        <w:t>)室间隔缺损手术共分为12个部分: 基本信息、VSD-1:术前评估、VSD-2:手术适应证、VSD-3:术中验证室间隔缺损手术效果的措施、VSD-4:围术期抗菌药物应用情况、VSD-5: 术后活动性出血或血肿再手术情况、VSD-6:手术后并发症、VSD-7: 住院期间为患者提供术前、术后健康教育与出院时提供教育告知五要素情况、VSD-8:手术切口愈合情况、VSD-9:离院方式、VSD-10: 患者对服务的体验与评价、VSD-11: 住院费用。</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w:t>
      </w: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)脑梗死（首次住院）共分为15个部分: 基本信息、STK-1:患者入院病情评估、STK-2:静脉溶栓处理情况、STK-3:房颤患者的抗凝药物使用情况、STK-4:抗血小板药物使用情况、STK-5:他汀类药物使用情况、STK-6:吞咽困难评价、STK-7:预防深静脉血栓的措施、STK-8:出院时药物使用情况、STK-9:卒中健康教育和早期康复评价、重点护理评估情况、STK-10:实施血管功能评价情况、STK-11:住院期间为患者提供健康教育与出院时提供教育告知五要素情况、STK-12:离院方式、STK-13:患者对服务的体验与评价、STK-14:住院费。</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w:t>
      </w: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)短暂性脑缺血发作共分为12个部分: 基本信息、TIA-1:患者入院病情评估、TIA-2:房颤患者的抗凝治疗、TIA-3:双联抗血小板药物使用情况、TIA-4:评价血脂水平、TIA-5:出院时药物使用情况、TIA-6:卒中重点护理评估和健康教育、TIA-7:血管评价情况、TIA-8:住院期间为患者提供健康教育与出院时提供教育告知五要素情况、TIA-9:离院方式、TIA-10:患者对服务的体验与评价、TIA-11:平均住院日与费用。</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w:t>
      </w: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rPr>
        <w:t>)脑出血共分为13个部分: 基本信息、ICH-1:急诊评估、ICH-2:急性脑出血患者入院24小时内的血压管理、ICH-3:急性脑出血患者预防深静脉血栓、ICH-4:急性脑出血患者进行吞咽困难评价、ICH-5:急性出血性卒中患者住院期间接受影像学检测、ICH-6:重症急性期出血性卒中患者接受神经外科评估及干预、ICH-7:规范化血压控制的二级预防干预、ICH-8:急性脑出血卒中患者病因诊断、ICH-9:住院期间为患者提供健康教育与出院时提供教育告知五要素、ICH-10:离院方式、ICH-11:患者对服务的体验与评价、ICH-12:住院费用。</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w:t>
      </w:r>
      <w:r>
        <w:rPr>
          <w:rFonts w:hint="eastAsia" w:asciiTheme="minorEastAsia" w:hAnsiTheme="minorEastAsia" w:eastAsiaTheme="minorEastAsia" w:cstheme="minorEastAsia"/>
          <w:bCs/>
          <w:sz w:val="24"/>
          <w:szCs w:val="24"/>
          <w:lang w:val="en-US" w:eastAsia="zh-CN"/>
        </w:rPr>
        <w:t>4</w:t>
      </w:r>
      <w:r>
        <w:rPr>
          <w:rFonts w:hint="eastAsia" w:asciiTheme="minorEastAsia" w:hAnsiTheme="minorEastAsia" w:eastAsiaTheme="minorEastAsia" w:cstheme="minorEastAsia"/>
          <w:bCs/>
          <w:sz w:val="24"/>
          <w:szCs w:val="24"/>
        </w:rPr>
        <w:t>)脑膜瘤（初发手术治疗）共分为13个部分: 基本信息、MEN-1: 基础影像学检查、MEN-2: 术前评估、MEN-3: 手术适应证、MEN-4: 术中神经功能保护措施与肿瘤切除率评估措施、MEN-5: 输血量、MEN-6: 术后影像学复查情况、MEN-7:预防性抗菌药物使用情况、MEN-8:术后并发症与再次手术情况、MEN-9:病理诊断采用2016 CNS WHO肿瘤分类情况、MEN-10:出院前病情评估、MEN-11: 住院期间为患者提供术前、术后健康教育与出院教育告知五项要素情况、MEN-12:手术切口愈合情况、MEN-13:离院方式、MEN-14:患者对服务的体验与评价、MEN-15:住院费用。</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w:t>
      </w: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bCs/>
          <w:sz w:val="24"/>
          <w:szCs w:val="24"/>
        </w:rPr>
        <w:t>)胶质瘤（初发，手术治疗）共分为17个部分:基本信息、GLI-1: 基础影像学检查、GLI-2: 术前评估、GLI-3: 手术适应证、GLI-4预防性抗菌药物使用情况、GLI-5: 术中神经功能保护措施与肿瘤切除率评估措施、GLI-6: 输血量、GLI-7 术后并发症与再手术、GLI-8: 术后影像学复查情况、GLI-9: 病理诊断采用2016 CNS WHO肿瘤分类情况、GLI-10 手术切口愈合情况、GLI-11 WHO病理分级Ⅱ级以上肿瘤进行免疫组化/分子病理学检测情况、GLI-12: 出院前完成完整神经功能评估和生活质量评估情况、GLI-13: 住院期间为患者提供术前、术后健康教育与出院教育告知五项要素、GLI-14: 离院方式、GLI-15: 患者对服务的体验与评价、GLI-16: 住院费用。</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w:t>
      </w:r>
      <w:r>
        <w:rPr>
          <w:rFonts w:hint="eastAsia" w:asciiTheme="minorEastAsia" w:hAnsiTheme="minorEastAsia" w:eastAsiaTheme="minorEastAsia" w:cstheme="minorEastAsia"/>
          <w:bCs/>
          <w:sz w:val="24"/>
          <w:szCs w:val="24"/>
          <w:lang w:val="en-US" w:eastAsia="zh-CN"/>
        </w:rPr>
        <w:t>6</w:t>
      </w:r>
      <w:r>
        <w:rPr>
          <w:rFonts w:hint="eastAsia" w:asciiTheme="minorEastAsia" w:hAnsiTheme="minorEastAsia" w:eastAsiaTheme="minorEastAsia" w:cstheme="minorEastAsia"/>
          <w:bCs/>
          <w:sz w:val="24"/>
          <w:szCs w:val="24"/>
        </w:rPr>
        <w:t>)垂体腺瘤（初发，手术治疗）共分为15个部分:基本信息、PA-1:患者入院病情评估、PA-2:术前评估、PA-3:手术适应证、PA-4:术前对可能并发症的评估及安全处置预案、PA-5:预防性抗菌药物使用情况、PA-6:手术并发症与再手术情况、PA-7:病理学分析评估情况、PA-8:输血量、PA-9:术后病情与疗效的评估、PA-10:术后辅助治疗情况、PA-11:住院期间为患者提供术前、术后健康教育与出院教育告知五项要素情况、PA-12:离院方式、PA-13:患者对服务的体验与评价、PA-14:住院费用。</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w:t>
      </w:r>
      <w:r>
        <w:rPr>
          <w:rFonts w:hint="eastAsia" w:asciiTheme="minorEastAsia" w:hAnsiTheme="minorEastAsia" w:eastAsiaTheme="minorEastAsia" w:cstheme="minorEastAsia"/>
          <w:bCs/>
          <w:sz w:val="24"/>
          <w:szCs w:val="24"/>
          <w:lang w:val="en-US" w:eastAsia="zh-CN"/>
        </w:rPr>
        <w:t>7</w:t>
      </w:r>
      <w:r>
        <w:rPr>
          <w:rFonts w:hint="eastAsia" w:asciiTheme="minorEastAsia" w:hAnsiTheme="minorEastAsia" w:eastAsiaTheme="minorEastAsia" w:cstheme="minorEastAsia"/>
          <w:bCs/>
          <w:sz w:val="24"/>
          <w:szCs w:val="24"/>
        </w:rPr>
        <w:t>)急性动脉瘤性蛛网膜下腔出血（初发手术治疗）共分为17个部分:基本信息、aSAH-1:急诊影像学检查情况aSAH-2:入院Hunt-Hess分级情况aSAH-3:术前检查情况aSAH-4:实行血管检查（CTA/DSA）情况aSAH-5:术前Hunt-Hess再分级情况aSAH-6:手术治疗情况aSAH-7:术中安全监测措施aSAH-8:围术期抗菌药物使用情况aSAH-9:特殊类型的急性aSAH患者开颅术后抗癫痫药物预防性使用情况aSAH-10:手术并发症与再手术情况aSAH-11:输血量aSAH-12:术前Hunt-Hess分级 1-2级的患者出院前完成mRs评分情况aSAH-13:住院期间为患者提供术前、术后健康教育与出院教育告知五项要素情况aSAH-14:离院方式aSAH-15:患者对服务的体验与评价aSAH-16:住院费用。</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(3</w:t>
      </w:r>
      <w:r>
        <w:rPr>
          <w:rFonts w:hint="eastAsia" w:asciiTheme="minorEastAsia" w:hAnsiTheme="minorEastAsia" w:eastAsiaTheme="minorEastAsia" w:cstheme="minorEastAsia"/>
          <w:bCs/>
          <w:sz w:val="24"/>
          <w:szCs w:val="24"/>
          <w:lang w:val="en-US" w:eastAsia="zh-CN"/>
        </w:rPr>
        <w:t>8</w:t>
      </w:r>
      <w:r>
        <w:rPr>
          <w:rFonts w:hint="eastAsia" w:asciiTheme="minorEastAsia" w:hAnsiTheme="minorEastAsia" w:eastAsiaTheme="minorEastAsia" w:cstheme="minorEastAsia"/>
          <w:bCs/>
          <w:sz w:val="24"/>
          <w:szCs w:val="24"/>
        </w:rPr>
        <w:t>)惊厥性癫痫持续状态共分为17个部分:基本信息、aSAH-1:急诊影像学检查情况aSAH-2:入院Hunt-Hess分级情况aSAH-3:术前检查情况aSAH-4:实行血管检查（CTA/DSA）情况aSAH-5:术前Hunt-Hess再分级情况aSAH-6:手术治疗情况aSAH-7:术中安全监测措施aSAH-8:围术期抗菌药物使用情况aSAH-9:特殊类型的急性aSAH患者开颅术后抗癫痫药物预防性使用情况aSAH-10:手术并发症与再手术情况aSAH-11:输血量aSAH-12:术前Hunt-Hess分级 1-2级的患者出院前完成mRs评分情况aSAH-13:住院期间为患者提供术前、术后健康教育与出院教育告知五项要素情况aSAH-14:离院方式aSAH-15:患者对服务的体验与评价aSAH-16:住院费用。</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39</w:t>
      </w:r>
      <w:r>
        <w:rPr>
          <w:rFonts w:hint="eastAsia" w:asciiTheme="minorEastAsia" w:hAnsiTheme="minorEastAsia" w:eastAsiaTheme="minorEastAsia" w:cstheme="minorEastAsia"/>
          <w:bCs/>
          <w:sz w:val="24"/>
          <w:szCs w:val="24"/>
        </w:rPr>
        <w:t>)帕金森病共分为13个部分:基本信息 （请参照出院/住院病历首页信息填写）、PD-1: 诊断标准、PD-2: 辅助检查情况、PD-3: 评测标准化多巴胺能反应性情况、PD-4: 临床分期、PD-5: 临床症状评估情况、PD-6: 筛查运动并发症、认知功能障碍及体位性低血压情况、PD-7: 对合并运动并发症的患者进行脑深部电刺激手术（DBS）适应证筛查、PD-8: 康复评价与实施康复训练情况、PD-9: 治疗前、治疗后健康教育与出院教育告知五项要素情况、PD-10: 离院方式、PD-11: 患者对服务的体验与评价、PD-12: 住院费用（元）。</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w:t>
      </w:r>
      <w:r>
        <w:rPr>
          <w:rFonts w:hint="eastAsia" w:asciiTheme="minorEastAsia" w:hAnsiTheme="minorEastAsia" w:eastAsiaTheme="minorEastAsia" w:cstheme="minorEastAsia"/>
          <w:bCs/>
          <w:sz w:val="24"/>
          <w:szCs w:val="24"/>
          <w:lang w:val="en-US" w:eastAsia="zh-CN"/>
        </w:rPr>
        <w:t>0</w:t>
      </w:r>
      <w:r>
        <w:rPr>
          <w:rFonts w:hint="eastAsia" w:asciiTheme="minorEastAsia" w:hAnsiTheme="minorEastAsia" w:eastAsiaTheme="minorEastAsia" w:cstheme="minorEastAsia"/>
          <w:bCs/>
          <w:sz w:val="24"/>
          <w:szCs w:val="24"/>
        </w:rPr>
        <w:t>)口腔种植术共分为11个部分: 基本信息、OIT-1:术前评估、OIT-2: 影像学检查与诊断情况、OIT-3:手术适应证、OIT-4:围术期预防性抗菌药物使用情况、OIT-5: 种植体品质信息及植骨材料等其他高值耗材记入病历情况、OIT-6: 术后并发症、OIT-7: 为患者提供种植修复后口腔健康教育情况、OIT-8: 手术切口愈合情况、OIT-9:种植成功评价情况（符合Albrektsson-Zarb标准）、OIT-10: 总费用（元）。</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w:t>
      </w: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)腮腺肿瘤（手术治疗）共分为13个部分: 基本信息、PT-1:术前评估、PT-2: 手术方案、PT-3:围术期抗菌药物使用情况、PT-4:术后面神经功能评估情况、PT-5: 术后的病理学诊断、PT-6: 术后并发症与再手术情况、PT-7: 手术切口愈合情况、PT-8: 手术后康复治疗情况、PT-9:住院期间为患者提供术前、术后健康教育与出院时提供教育告知五要素情况、PT-10: 离院方式、PT-11: 患者对服务的体验与评价、PT-12: 住院费用。</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w:t>
      </w: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)舌鳞状细胞癌（手术治疗）共分为13个部分: 基本信息、TSCC-1:术前评估、TSCC-2: 术前TNM分期、TSCC-3:手术方案选择、TSCC-4:术后病理学诊断、TSCC-5: 围术期预防性抗菌药物使用情况、TSCC-6: 术后并发症、TSCC-7: 手术切口愈合情况、TSCC-8: 手术后康复治疗情况、TSCC-9:住院期间为患者提供术前、术后健康教育与出院时提供教育告知五要素情况、TSCC-10: 离院方式、TSCC-11: 患者对服务的体验与评价、TSCC-12: 住院费用。</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w:t>
      </w: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rPr>
        <w:t>)发育性髋关节发育不良共分为10个部分:基本信息、DDH-1: 患者入院病情评估、DDH-3: 围术期预防性抗菌药物使用情况、DDH-5: 手术切口愈合情况、DDH-6: 离院方式、DDH-7: 住院期间为患者提供术前、术后健康教育与出院时提供教育告知五要素情况、DDH-8: 患者对服务的体验与评价、DDH-9: 住院费用。</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w:t>
      </w:r>
      <w:r>
        <w:rPr>
          <w:rFonts w:hint="eastAsia" w:asciiTheme="minorEastAsia" w:hAnsiTheme="minorEastAsia" w:eastAsiaTheme="minorEastAsia" w:cstheme="minorEastAsia"/>
          <w:bCs/>
          <w:sz w:val="24"/>
          <w:szCs w:val="24"/>
          <w:lang w:val="en-US" w:eastAsia="zh-CN"/>
        </w:rPr>
        <w:t>4</w:t>
      </w:r>
      <w:r>
        <w:rPr>
          <w:rFonts w:hint="eastAsia" w:asciiTheme="minorEastAsia" w:hAnsiTheme="minorEastAsia" w:eastAsiaTheme="minorEastAsia" w:cstheme="minorEastAsia"/>
          <w:bCs/>
          <w:sz w:val="24"/>
          <w:szCs w:val="24"/>
        </w:rPr>
        <w:t>)髋关节置换术共分为12个部分:基本信息、THR-1: 术前评估、THR-2: 预防性抗菌药物使用情况、THR-3: 预防术后深静脉血栓形成、THR-4: 输血量、THR-5: 术后康复治疗情况、THR-6: 手术后并发症与再手术情况、THR-7: 住院期间为患者提供术前、术后健康教育与出院时提供教育告知五要素情况、THR-8: 手术切口愈合情况、THR-9: 离院方式、THR-10: 患者对服务的体验与评价、THR-11: 住院费用。</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w:t>
      </w: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bCs/>
          <w:sz w:val="24"/>
          <w:szCs w:val="24"/>
        </w:rPr>
        <w:t>)膝关节置换术共分为12个部分:基本信息、TKR-1: 术前评估、TKR-2: 预防性抗菌药物使用情况、TKR-3: 预防术后深静脉血栓形成（DVT）、TKR-4: 输血量、TKR-5: 手术后康复治疗情况、TKR-6: 术后并发症与再手术情况、TKR-7: 住院期间为患者提供术前、术后健康教育与出院时提供教育告知五要素情况、TKR-8: 手术切口愈合情况、TKR-9: 离院方式、TKR-10: 患者对服务的体验与评价、TKR-11: 住院费用。</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w:t>
      </w:r>
      <w:r>
        <w:rPr>
          <w:rFonts w:hint="eastAsia" w:asciiTheme="minorEastAsia" w:hAnsiTheme="minorEastAsia" w:eastAsiaTheme="minorEastAsia" w:cstheme="minorEastAsia"/>
          <w:bCs/>
          <w:sz w:val="24"/>
          <w:szCs w:val="24"/>
          <w:lang w:val="en-US" w:eastAsia="zh-CN"/>
        </w:rPr>
        <w:t>6</w:t>
      </w:r>
      <w:r>
        <w:rPr>
          <w:rFonts w:hint="eastAsia" w:asciiTheme="minorEastAsia" w:hAnsiTheme="minorEastAsia" w:eastAsiaTheme="minorEastAsia" w:cstheme="minorEastAsia"/>
          <w:bCs/>
          <w:sz w:val="24"/>
          <w:szCs w:val="24"/>
        </w:rPr>
        <w:t>)剖宫产共分为14个部分:基本信息、CS-1:剖宫产术前评估、CS-2:手术指征、CS-3:手术前预防性抗菌药物选用一、二代头孢菌素、CS-4:新生儿Apgar评分、CS-5:输血量、CS-6:手术并发症与再次手术情况、CS-7:手术相关新生儿并发症、CS-8:提供母乳喂养教育情况、CS-9:住院期间为产妇提供术前、术后健康教育与出院时提供教育告知五要素情况、CS-10:手术切口愈合情况、CS-11:离院方式、CS-12:患者对服务的体验与评价、CS-13:妊娠合并HBV实施母婴阻断、CS-14:住院费用。</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w:t>
      </w:r>
      <w:r>
        <w:rPr>
          <w:rFonts w:hint="eastAsia" w:asciiTheme="minorEastAsia" w:hAnsiTheme="minorEastAsia" w:eastAsiaTheme="minorEastAsia" w:cstheme="minorEastAsia"/>
          <w:bCs/>
          <w:sz w:val="24"/>
          <w:szCs w:val="24"/>
          <w:lang w:val="en-US" w:eastAsia="zh-CN"/>
        </w:rPr>
        <w:t>7</w:t>
      </w:r>
      <w:r>
        <w:rPr>
          <w:rFonts w:hint="eastAsia" w:asciiTheme="minorEastAsia" w:hAnsiTheme="minorEastAsia" w:eastAsiaTheme="minorEastAsia" w:cstheme="minorEastAsia"/>
          <w:bCs/>
          <w:sz w:val="24"/>
          <w:szCs w:val="24"/>
        </w:rPr>
        <w:t>)异位妊娠（手术治疗）共分为12个部分:基本信息、DG-1:患者入院病情评估、DG-2:药物治疗情况、DG-3:手术治疗情况、DG-4:围术期抗菌药物使用情况、DG-5:手术后并发症与再手术情况、DG-6:输血量、DG-7:住院期间为患者提供健康教育与出院时提供教育告知五要素情况、DG-8:手术切口愈合情况、DG-9:离院方式、DG-10:患者对服务的体验与评价、DG-11:住院费用。</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(4</w:t>
      </w:r>
      <w:r>
        <w:rPr>
          <w:rFonts w:hint="eastAsia" w:asciiTheme="minorEastAsia" w:hAnsiTheme="minorEastAsia" w:eastAsiaTheme="minorEastAsia" w:cstheme="minorEastAsia"/>
          <w:bCs/>
          <w:sz w:val="24"/>
          <w:szCs w:val="24"/>
          <w:lang w:val="en-US" w:eastAsia="zh-CN"/>
        </w:rPr>
        <w:t>8</w:t>
      </w:r>
      <w:r>
        <w:rPr>
          <w:rFonts w:hint="eastAsia" w:asciiTheme="minorEastAsia" w:hAnsiTheme="minorEastAsia" w:eastAsiaTheme="minorEastAsia" w:cstheme="minorEastAsia"/>
          <w:bCs/>
          <w:sz w:val="24"/>
          <w:szCs w:val="24"/>
        </w:rPr>
        <w:t>)子宫肌瘤（手术治疗）共分为11个部分:基本信息、UM-1:患者入院病情评估与术式选择、UM-2:子宫肌瘤治疗情况、UM-3:预防性抗菌药物应用时机、UM-4:输血量、UM-5:术后并发症与再手术情况、UM-6:住院期间为患者提供术前、术后健康教育与出院时提供教育告知五要素情况、UM-7:手术切口愈合情况、UM-8:离院方式、UM-9:患者对服务的体验与评价、UM-10:住院费用。</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49</w:t>
      </w:r>
      <w:r>
        <w:rPr>
          <w:rFonts w:hint="eastAsia" w:asciiTheme="minorEastAsia" w:hAnsiTheme="minorEastAsia" w:eastAsiaTheme="minorEastAsia" w:cstheme="minorEastAsia"/>
          <w:bCs/>
          <w:sz w:val="24"/>
          <w:szCs w:val="24"/>
        </w:rPr>
        <w:t>)胃癌（手术治疗）共分为20个部分:基本信息 （请参照出院/住院病历首页信息填写）、GC-1: 手术前评估和治疗前临床TNM分期、GCGC-3: 术中达到安全切缘证实措施、GC-4: 胃癌根治性手术淋巴结清扫、GC-5: 术后的病理学诊断、GC-6: 早期胃癌内镜治疗情况、GC-7: 围术期抗菌药物使用情况、GC-8: 术后并发症与再手术情况、GC-9: 营养支持治疗情况、GC-10: 术后精确放疗应用情况、GC-11: 术后胃癌放疗技术/靶区定义/剂量记录、GC-12: 胃癌初次化疗方案、GC-13: 抗肿瘤药物疗效评价、GC-14: 抗肿瘤药不良反应评价、GC-15: 住院期间为患者提供术前、术后健康教育与出院时提供教育告知五要素情况、GC-16: 手术切口愈合情况、GC-17: 离院方式、GC-18: 患者对服务的体验与评价、GC-19: 住院费用。</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w:t>
      </w:r>
      <w:r>
        <w:rPr>
          <w:rFonts w:hint="eastAsia" w:asciiTheme="minorEastAsia" w:hAnsiTheme="minorEastAsia" w:eastAsiaTheme="minorEastAsia" w:cstheme="minorEastAsia"/>
          <w:bCs/>
          <w:sz w:val="24"/>
          <w:szCs w:val="24"/>
          <w:lang w:val="en-US" w:eastAsia="zh-CN"/>
        </w:rPr>
        <w:t>0</w:t>
      </w:r>
      <w:r>
        <w:rPr>
          <w:rFonts w:hint="eastAsia" w:asciiTheme="minorEastAsia" w:hAnsiTheme="minorEastAsia" w:eastAsiaTheme="minorEastAsia" w:cstheme="minorEastAsia"/>
          <w:bCs/>
          <w:sz w:val="24"/>
          <w:szCs w:val="24"/>
        </w:rPr>
        <w:t>)宫颈癌（手术治疗）共分为14个部分:基本信息、CC-1: 术前评估以及FIGO/TNM分期、CC-2: 手术适应证和手术方案、CC-3: 预防性抗菌药物应用时机、CC-4: 术后病理及pTNM分期、CC-5: 术后综合治疗方案、CC-6: 术后并发症及再手术情况、CC-7: 输血量、CC-8: 住院期间为患者提供术前、术后健康教育与出院时提供教育告知五要素情况、CC-9: 手术切口愈合情况、CC-10: 离院方式、CC-11: 患者对服务的体验与评价、CC-12: 住院费用、提供xxx手术前、术后健康教育。</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w:t>
      </w: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)结肠癌（手术治疗）共分为19个部分:基本信息、CoC-1: 治疗前评估和临床 cTNM 分期/yTNM 分期、CoC-2: 治疗前肠镜检查和组织形态学/细胞学诊断、CoC-3: 结肠癌外科治疗模式选择、CoC-4: 术中达到安全切缘证实措施、CoC-5: 围术期预防性抗菌药物使用情况、CoC-6: 手术后并发症、CoC-7: 术后病理诊断,淋巴结清扫个数及 pTNM 分期 /ypTNM 分期、CoC-8: 胃肠道功能恢复及营养支持治疗情况、CoC-9: 术后辅助化疗情况、CoC-10: 术后放射治疗(暂不开放)、CoC-11: 基因检测与靶向药物使用情况(暂不开放)、CoC-12: 抗肿瘤药物疗效评价(暂不开放)、CoC-13: 抗肿瘤药物不良反应评价(暂不开放)、CoC-14: 住院期间为患者提供术前、术后健康教育与出院 时提供教育告知五要素情况、CoC-15: 切口愈合、CoC-16: 离院方式、CoC-17: 患者对服务的体验与评价、CoC-18: 住院费用。</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w:t>
      </w: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)肺癌（手术治疗）共分为18个部分:基本信息 （请参照出院/住院病历首页信息填写）、LC-1: 术前评估和治疗前临床TNM分期、LC-2: 治疗前病理组织形态学/细胞学诊断、LC-3: 治疗前行胸部CT检查情况、LC-4: 早期肺癌患者手术治疗中淋巴结清扫情况、LC-5: 预防性抗菌药物使用情况、LC-6: 术后并发症与再手术情况、LC-7: 术后病理pTNM分期、LC-8: 术后辅助治疗情况、LC-9: 术后放疗情况、LC-10: 基因检测与靶向药物使用情况、LC-11: 抗肿瘤药物疗效评价、LC-12: 抗肿瘤药物不良反应评价、LC-13: 住院期间为患者提供术前、术后健康教育与出院时提供教育告知情况、LC-14: 切口愈合、LC-15: 离院方式、LC-16: 患者对服务的体验与评价、LC-17: 住院费用。</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w:t>
      </w: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rPr>
        <w:t>)甲状腺癌（手术治疗）共分为12个部分:基本信息、TC-1: 术前评估和治疗前临床cTNM分期、TC-2: 手术适应症和手术方案、TC-3: 手术后并发症与再手术情况、TC-4: 预防性抗菌药物使用情况、TC-5: 术后病理学诊断和治疗方案、TC-6: 输血量、TC-7: 住院期间为患者提供术前、术后健康教育与出院时提供教育告知情况、TC-8: 手术切口愈合情况、TC-9: 离院方式、TC-10: 患者对服务的体验与评价、TC-11: 住院天数与费用。</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w:t>
      </w:r>
      <w:r>
        <w:rPr>
          <w:rFonts w:hint="eastAsia" w:asciiTheme="minorEastAsia" w:hAnsiTheme="minorEastAsia" w:eastAsiaTheme="minorEastAsia" w:cstheme="minorEastAsia"/>
          <w:bCs/>
          <w:sz w:val="24"/>
          <w:szCs w:val="24"/>
          <w:lang w:val="en-US" w:eastAsia="zh-CN"/>
        </w:rPr>
        <w:t>4</w:t>
      </w:r>
      <w:r>
        <w:rPr>
          <w:rFonts w:hint="eastAsia" w:asciiTheme="minorEastAsia" w:hAnsiTheme="minorEastAsia" w:eastAsiaTheme="minorEastAsia" w:cstheme="minorEastAsia"/>
          <w:bCs/>
          <w:sz w:val="24"/>
          <w:szCs w:val="24"/>
        </w:rPr>
        <w:t>)乳腺癌（手术治疗）共分为15个部分:基本信息、BC-1: 前哨淋巴结活检情况、BC-2: 术前评估和治疗前临床TNM分期、BC-3: 手术方案情况、BC-4: 术后病理学诊断、BC-5: 预防性抗菌药物使用情况、BC-6: 手术后并发症、BC-7: 术后放疗情况、BC-8: 激素受体阳性患者术后辅助内分泌治疗情况、BC-9: HER-2阳性乳腺癌术后辅助靶向治疗情况、BC-10: 住院期间为患者提供术前、术后健康教育与出院时提供教育告知情况、BC-11: 手术切口愈合情况、BC-12: 离院方式、BC-13: 患者对服务的体验与评价、BC-14: 住院费用。</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w:t>
      </w: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bCs/>
          <w:sz w:val="24"/>
          <w:szCs w:val="24"/>
        </w:rPr>
        <w:t>)糖尿病肾病共分为9个部分:基本信息、DKD-1: 糖尿病肾病评估及分期、DKD-2: 视网膜病变和血管并发症评估情况、DKD-3: 肾脏组织活检病理检查结果、DKD-4: 住院期间控制血糖、血压、血脂情况、DKD-5: 住院期间为患者提供健康教育与出院教育告知五项要素情况、DKD-6: 离院方式、DKD-7: 患者对服务的体验与评价、DKD-8: 住院费用。</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w:t>
      </w:r>
      <w:r>
        <w:rPr>
          <w:rFonts w:hint="eastAsia" w:asciiTheme="minorEastAsia" w:hAnsiTheme="minorEastAsia" w:eastAsiaTheme="minorEastAsia" w:cstheme="minorEastAsia"/>
          <w:bCs/>
          <w:sz w:val="24"/>
          <w:szCs w:val="24"/>
          <w:lang w:val="en-US" w:eastAsia="zh-CN"/>
        </w:rPr>
        <w:t>6</w:t>
      </w:r>
      <w:r>
        <w:rPr>
          <w:rFonts w:hint="eastAsia" w:asciiTheme="minorEastAsia" w:hAnsiTheme="minorEastAsia" w:eastAsiaTheme="minorEastAsia" w:cstheme="minorEastAsia"/>
          <w:bCs/>
          <w:sz w:val="24"/>
          <w:szCs w:val="24"/>
        </w:rPr>
        <w:t>)终末期肾病腹膜透析共分为11个部分:基本信息、ESRD-PD-1: 腹膜透析治疗室消毒合格情况、ESRD-PD-2: 腹膜透析患者定时完成检验情况（每 3 或 6个月）、ESRD-PD-3: 高血压控制情况、ESRD-PD-4: 肾性贫血控制情况、ESRD-PD-5: 钙磷代谢管理情况、ESRD-PD-6: 血清白蛋白控制情况、ESRD-PD-7: 尿素清除指数（Kt/V）和总内生肌酐清除率（Ccr）、ESRD-PD-8: 腹膜炎发生情况、ESRD-PD-9: 为患者提供腹膜透析治疗前、后健康教育情况(不开放)、ESRD-PD-10: 住院费用(不开放)。</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w:t>
      </w:r>
      <w:r>
        <w:rPr>
          <w:rFonts w:hint="eastAsia" w:asciiTheme="minorEastAsia" w:hAnsiTheme="minorEastAsia" w:eastAsiaTheme="minorEastAsia" w:cstheme="minorEastAsia"/>
          <w:bCs/>
          <w:sz w:val="24"/>
          <w:szCs w:val="24"/>
          <w:lang w:val="en-US" w:eastAsia="zh-CN"/>
        </w:rPr>
        <w:t>7</w:t>
      </w:r>
      <w:r>
        <w:rPr>
          <w:rFonts w:hint="eastAsia" w:asciiTheme="minorEastAsia" w:hAnsiTheme="minorEastAsia" w:eastAsiaTheme="minorEastAsia" w:cstheme="minorEastAsia"/>
          <w:bCs/>
          <w:sz w:val="24"/>
          <w:szCs w:val="24"/>
        </w:rPr>
        <w:t>)终末期肾病血液透析共分为15个部分:基本信息、ESRD-HD-1: 首次肾脏替代治疗时基本情况、ESRD-HD-2: 透析用水生物污染检验合格情况、ESRD-HD-4: 维持性血液透析患者定时完成检验情况（每3或6个月）、ESRD-HD-5: 高血压控制情况、ESRD-HD-6: 肾性贫血控制情况、ESRD-HD-7: 钙磷代谢管理情况、ESRD-HD-8: 血清白蛋白控制情况、ESRD-HD-9: 尿素清除指数（Kt/V）和尿素（URR）、ESRD-HD-10: 透析间期体重控制情况、ESRD-HD-11: 维持性血液透析期间发生乙型肝炎和丙型 肝炎情况、ESRD-HD-12: 血管通路管理情况、ESRD-HD-13: 为患者提供血液透析治疗前、后健康教育情况(不开放)、ESRD-HD-14: 住院费用(不开放)。</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(5</w:t>
      </w:r>
      <w:r>
        <w:rPr>
          <w:rFonts w:hint="eastAsia" w:asciiTheme="minorEastAsia" w:hAnsiTheme="minorEastAsia" w:eastAsiaTheme="minorEastAsia" w:cstheme="minorEastAsia"/>
          <w:bCs/>
          <w:sz w:val="24"/>
          <w:szCs w:val="24"/>
          <w:lang w:val="en-US" w:eastAsia="zh-CN"/>
        </w:rPr>
        <w:t>8</w:t>
      </w:r>
      <w:r>
        <w:rPr>
          <w:rFonts w:hint="eastAsia" w:asciiTheme="minorEastAsia" w:hAnsiTheme="minorEastAsia" w:eastAsiaTheme="minorEastAsia" w:cstheme="minorEastAsia"/>
          <w:bCs/>
          <w:sz w:val="24"/>
          <w:szCs w:val="24"/>
        </w:rPr>
        <w:t>)原发性急性闭角型青光眼（手术治疗）共分为12个部分:基本信息、PACG-1: 实施手术前评估与ISGEO分类、PACG-2: 手术适应症和手术方案选择、PACG-4: 术中并发症的处理、PACG-5: 术后眼压、PACG-6 术后视力、PACG-7: 术后并发症的治疗、PACG-8: 住院期间为患者提供健康教育与出院时提供教育告知情况、PACG-9: 离院方式、PACG-10: 患者对服务的体验与评价、PACG-11: 住院费用。</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59</w:t>
      </w:r>
      <w:r>
        <w:rPr>
          <w:rFonts w:hint="eastAsia" w:asciiTheme="minorEastAsia" w:hAnsiTheme="minorEastAsia" w:eastAsiaTheme="minorEastAsia" w:cstheme="minorEastAsia"/>
          <w:bCs/>
          <w:sz w:val="24"/>
          <w:szCs w:val="24"/>
        </w:rPr>
        <w:t>)复杂性视网膜脱离（手术治疗）共分为11个部分:基本信息、RD-1: 手术前的评估与术前准备、RD-2: 视网膜脱离复位巩膜扣带术适应证、RD-3: 预防性抗菌药物选择与应用时机、RD-4: 术中并发症的处理、RD-5: 术后视网膜功能、RD-6: 术后并发症、RD-7: 住院期间为患者提供健康教育与出院时提供教育告知情况、RD-8: 离院方式、RD-9: 患者对服务的体验与评价、RD-10: 住院费用。</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w:t>
      </w:r>
      <w:r>
        <w:rPr>
          <w:rFonts w:hint="eastAsia" w:asciiTheme="minorEastAsia" w:hAnsiTheme="minorEastAsia" w:eastAsiaTheme="minorEastAsia" w:cstheme="minorEastAsia"/>
          <w:bCs/>
          <w:sz w:val="24"/>
          <w:szCs w:val="24"/>
          <w:lang w:val="en-US" w:eastAsia="zh-CN"/>
        </w:rPr>
        <w:t>60</w:t>
      </w:r>
      <w:r>
        <w:rPr>
          <w:rFonts w:hint="eastAsia" w:asciiTheme="minorEastAsia" w:hAnsiTheme="minorEastAsia" w:eastAsiaTheme="minorEastAsia" w:cstheme="minorEastAsia"/>
          <w:bCs/>
          <w:sz w:val="24"/>
          <w:szCs w:val="24"/>
        </w:rPr>
        <w:t>)儿童急性淋巴细胞白血病（初始诱导化疗）共分为13个部分:基本信息、ALL-1: 患者入院病情评估、ALL-2: 临床诊断与危险度分层、ALL-3: 诱导期化疗方案、ALL-4: 早期强化治疗方案、ALL-5: 临床治疗反应评估、ALL-6: 化疗相关的不良反应、ALL-7: 预防性抗菌药物种类选择、ALL-8: 输血情况、ALL-9: 住院期间为患者提供化疗前、化疗后健康教育与出院时提供教育告知五要素情况、ALL-10: 离院方式、ALL-11: 患儿家长对服务的体验与评价、ALL-12: 住院费用。</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w:t>
      </w: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rPr>
        <w:t>)儿童急性早幼粒细胞白血病（初始化疗）共分为13个部分:基本信息、APL-1: 患者入院病情评估、APL-2: 临床危险度分层、APL-3: 诱导期化疗方案、APL-4: 缓解后治疗方案、APL-5: 临床治疗反应评估、APL-6: 化疗相关的不良反应、APL-7: 预防性抗菌药物种类选择、APL-8: 输血情况/造血生长因子应用情况、APL-9: 住院期间为患者提供化疗前、后健康教育与出院时提供教育告知五要素情况、APL-10: 离院方式、APL-11: 患儿家长对服务的体验与评价、APL-12: 住院费用。</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w:t>
      </w: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rPr>
        <w:t>)HBV 感染分娩母婴阻断共分为10个部分:基本信息、HBV-1: HBV 母婴传播风险评估、HBV-2: HBV 感染母亲抗病毒治疗情况、HBV-3: 预防母婴传播的干预措施、HBV-4: 婴儿联合免疫预防接种情况、HBV-5: 母乳喂养情况、HBV-6: 住院期间为患者提供分娩前、分娩后健康教育与出院时提供母婴阻断措施告知情况、HBV-7: 离院方式、HBV-8: 产妇对服务的体验与评价、HBV-9: 住院费用。</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w:t>
      </w: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rPr>
        <w:t>)围手术期预防感染共分为7个部分:基本信息、PIP-1: 预防性抗菌药物使用情况、PIP-2: 手术后并发症、PIP-3: 手术切口愈合情况、PIP-5: 患者对服务的体验与评价、PIP-6: 住院费用。</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w:t>
      </w:r>
      <w:r>
        <w:rPr>
          <w:rFonts w:hint="eastAsia" w:asciiTheme="minorEastAsia" w:hAnsiTheme="minorEastAsia" w:eastAsiaTheme="minorEastAsia" w:cstheme="minorEastAsia"/>
          <w:bCs/>
          <w:sz w:val="24"/>
          <w:szCs w:val="24"/>
          <w:lang w:val="en-US" w:eastAsia="zh-CN"/>
        </w:rPr>
        <w:t>4</w:t>
      </w:r>
      <w:r>
        <w:rPr>
          <w:rFonts w:hint="eastAsia" w:asciiTheme="minorEastAsia" w:hAnsiTheme="minorEastAsia" w:eastAsiaTheme="minorEastAsia" w:cstheme="minorEastAsia"/>
          <w:bCs/>
          <w:sz w:val="24"/>
          <w:szCs w:val="24"/>
        </w:rPr>
        <w:t>)围手术期预防深静脉血栓栓塞共分为8个部分:基本信息、DVT-1 预防性抗菌药物使用情况、DVT-2 预防术后深静脉血栓形成、DVT-3 手术后并发症、DVT-4 手术切口愈合情况、DVT-5 离院方式、DVT-6 患者对服务的体验与评价、DVT-7 住院费用。</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w:t>
      </w: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bCs/>
          <w:sz w:val="24"/>
          <w:szCs w:val="24"/>
        </w:rPr>
        <w:t>)住院精神疾病共分为9个部分:基本信息、HBIPS-1 患者入院病情评估、HBIPS-2 住院期间严重不良事件、HBIPS-3 住院期间使用约束和隔离措施情况、HBIPS-4 出院前进行社会功能评估情况、HBIPS-5 出院时制定持续服务计划情况、HBIPS-6 出院时抗精神病和抗抑郁药物使用情况、HBIPS-7 离院方式、HBIPS-8 住院费用。</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w:t>
      </w:r>
      <w:r>
        <w:rPr>
          <w:rFonts w:hint="eastAsia" w:asciiTheme="minorEastAsia" w:hAnsiTheme="minorEastAsia" w:eastAsiaTheme="minorEastAsia" w:cstheme="minorEastAsia"/>
          <w:bCs/>
          <w:sz w:val="24"/>
          <w:szCs w:val="24"/>
          <w:lang w:val="en-US" w:eastAsia="zh-CN"/>
        </w:rPr>
        <w:t>6</w:t>
      </w:r>
      <w:r>
        <w:rPr>
          <w:rFonts w:hint="eastAsia" w:asciiTheme="minorEastAsia" w:hAnsiTheme="minorEastAsia" w:eastAsiaTheme="minorEastAsia" w:cstheme="minorEastAsia"/>
          <w:bCs/>
          <w:sz w:val="24"/>
          <w:szCs w:val="24"/>
        </w:rPr>
        <w:t>)中高危风险患者预防静脉血栓栓塞症共分为8个部分:基本信息、VTE-1: 患者危险因素与风险评估、VTE-2: 患者实施多普勒超声检查情况、VTE-3: 预防静脉血栓措施、VTE-4: 静脉血栓栓塞症（VTE）患者抗凝治疗措施、VTE-5: 离院方式、VTE-6: 患者对服务的体验与评价、VTE-7: 住院费用。</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w:t>
      </w:r>
      <w:r>
        <w:rPr>
          <w:rFonts w:hint="eastAsia" w:asciiTheme="minorEastAsia" w:hAnsiTheme="minorEastAsia" w:eastAsiaTheme="minorEastAsia" w:cstheme="minorEastAsia"/>
          <w:bCs/>
          <w:sz w:val="24"/>
          <w:szCs w:val="24"/>
          <w:lang w:val="en-US" w:eastAsia="zh-CN"/>
        </w:rPr>
        <w:t>7</w:t>
      </w:r>
      <w:r>
        <w:rPr>
          <w:rFonts w:hint="eastAsia" w:asciiTheme="minorEastAsia" w:hAnsiTheme="minorEastAsia" w:eastAsiaTheme="minorEastAsia" w:cstheme="minorEastAsia"/>
          <w:bCs/>
          <w:sz w:val="24"/>
          <w:szCs w:val="24"/>
        </w:rPr>
        <w:t>)严重脓毒症和脓毒症休克早期治疗共分为6个部分:基本信息 （请参照出院/住院病历首页信息填写）、SEP-1: 患者入院病情评估、SEP-2: 感染性休克患者3h完成集束化（bundle）治疗情况、SEP-3: 感染性休克患者6h完成集束化（bundle）治疗情况、SEP-4: 离院方式、SEP-5: 住院费用。</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rPr>
        <w:t>(6</w:t>
      </w:r>
      <w:r>
        <w:rPr>
          <w:rFonts w:hint="eastAsia" w:asciiTheme="minorEastAsia" w:hAnsiTheme="minorEastAsia" w:eastAsiaTheme="minorEastAsia" w:cstheme="minorEastAsia"/>
          <w:bCs/>
          <w:sz w:val="24"/>
          <w:szCs w:val="24"/>
          <w:lang w:val="en-US" w:eastAsia="zh-CN"/>
        </w:rPr>
        <w:t>8</w:t>
      </w:r>
      <w:r>
        <w:rPr>
          <w:rFonts w:hint="eastAsia" w:asciiTheme="minorEastAsia" w:hAnsiTheme="minorEastAsia" w:eastAsiaTheme="minorEastAsia" w:cstheme="minorEastAsia"/>
          <w:bCs/>
          <w:sz w:val="24"/>
          <w:szCs w:val="24"/>
        </w:rPr>
        <w:t>)甲状腺结节（手术治疗）共分为12个部分:基本信息、TN-1: 实施甲状腺结节术前的风险评估、TN-2: 按照甲状腺结节评估确定手术适应证、选择手术方案、TN-3: 手术后并发症、TN-4: 预防抗菌药应用时机、TN-5: 术后病理、TN-6: 输血量、TN-7: 提供甲状腺结节术前、术后、出院时健康教育、TN-8: 切口甲级愈合、TN-9: 离院方式、TN-10: 患者对服务的体验与评价、TN-11: 住院费用。</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val="en-US" w:eastAsia="zh-CN"/>
        </w:rPr>
        <w:t>69</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单病种查询功能支持通过信息填写的起止日期、指标名称、指标值域进行查询，查询到的信息可以自定义设置，并支持查询信息的excel表导出，单病种查询要能够支持接口的调用，实现查询后对对单病种信息的修改；</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）系统数据接口要能够支持MSSQLSERVER、ORACLE数据库类型，数据库连接配置支持通过接口编号、接口描述、服务名称、数据库端口号等进行设置；</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val="en-US" w:eastAsia="zh-CN"/>
        </w:rPr>
        <w:t>1</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系统要具有参数配置模块，支持对系统共用参数及各单病种参数进行配置；</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val="en-US" w:eastAsia="zh-CN"/>
        </w:rPr>
        <w:t>2</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b/>
          <w:bCs/>
          <w:sz w:val="24"/>
          <w:szCs w:val="24"/>
        </w:rPr>
        <w:t>*</w:t>
      </w:r>
      <w:r>
        <w:rPr>
          <w:rFonts w:hint="eastAsia" w:asciiTheme="minorEastAsia" w:hAnsiTheme="minorEastAsia" w:eastAsiaTheme="minorEastAsia" w:cstheme="minorEastAsia"/>
          <w:sz w:val="24"/>
          <w:szCs w:val="24"/>
        </w:rPr>
        <w:t>系统要具有单病种上报范围设置模块，支持对每个单病种的ICD主诊断、ICD其他诊断、手术码、年龄、性别、住院天数和入院途径等设置项。根据上报范围能自动生成患者应报清单、漏报患者清单、漏报率等指标。</w:t>
      </w:r>
    </w:p>
    <w:p>
      <w:pPr>
        <w:spacing w:line="520" w:lineRule="exact"/>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val="en-US" w:eastAsia="zh-CN"/>
        </w:rPr>
        <w:t>3</w:t>
      </w:r>
      <w:r>
        <w:rPr>
          <w:rFonts w:hint="eastAsia" w:asciiTheme="minorEastAsia" w:hAnsiTheme="minorEastAsia" w:eastAsiaTheme="minorEastAsia" w:cstheme="minorEastAsia"/>
          <w:sz w:val="24"/>
          <w:szCs w:val="24"/>
        </w:rPr>
        <w:t>）*系统支持产出上报整体情况，漏报患者明细，上报患者明细，排除患者明细以及各科室上传至国家平台的数据分析情况。</w:t>
      </w:r>
    </w:p>
    <w:p>
      <w:pPr>
        <w:spacing w:line="520" w:lineRule="exact"/>
        <w:ind w:firstLine="480" w:firstLineChars="20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t>（7</w:t>
      </w:r>
      <w:r>
        <w:rPr>
          <w:rFonts w:hint="eastAsia" w:asciiTheme="minorEastAsia" w:hAnsiTheme="minorEastAsia" w:eastAsiaTheme="minorEastAsia" w:cstheme="minorEastAsia"/>
          <w:sz w:val="24"/>
          <w:szCs w:val="24"/>
          <w:lang w:val="en-US" w:eastAsia="zh-CN"/>
        </w:rPr>
        <w:t>4</w:t>
      </w:r>
      <w:r>
        <w:rPr>
          <w:rFonts w:hint="eastAsia" w:asciiTheme="minorEastAsia" w:hAnsiTheme="minorEastAsia" w:eastAsiaTheme="minorEastAsia" w:cstheme="minorEastAsia"/>
          <w:sz w:val="24"/>
          <w:szCs w:val="24"/>
        </w:rPr>
        <w:t>）</w:t>
      </w:r>
      <w:r>
        <w:rPr>
          <w:rFonts w:hint="eastAsia" w:asciiTheme="minorEastAsia" w:hAnsiTheme="minorEastAsia" w:eastAsiaTheme="minorEastAsia" w:cstheme="minorEastAsia"/>
          <w:sz w:val="24"/>
          <w:szCs w:val="24"/>
          <w:lang w:eastAsia="zh-CN"/>
        </w:rPr>
        <w:t>中标商承担与相关系统的对接接口费用</w:t>
      </w:r>
    </w:p>
    <w:p>
      <w:pPr>
        <w:numPr>
          <w:ilvl w:val="0"/>
          <w:numId w:val="0"/>
        </w:numPr>
        <w:ind w:leftChars="0"/>
        <w:rPr>
          <w:rFonts w:hint="eastAsia" w:ascii="宋体" w:hAnsi="宋体" w:cs="宋体"/>
          <w:b/>
          <w:bCs/>
          <w:sz w:val="24"/>
          <w:szCs w:val="24"/>
          <w:highlight w:val="none"/>
          <w:lang w:val="en-US" w:eastAsia="zh-CN"/>
        </w:rPr>
      </w:pPr>
    </w:p>
    <w:p>
      <w:pPr>
        <w:numPr>
          <w:ilvl w:val="0"/>
          <w:numId w:val="0"/>
        </w:numPr>
        <w:ind w:leftChars="0"/>
        <w:rPr>
          <w:rFonts w:hint="eastAsia"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四、</w:t>
      </w:r>
      <w:r>
        <w:rPr>
          <w:rFonts w:hint="eastAsia" w:asciiTheme="minorEastAsia" w:hAnsiTheme="minorEastAsia"/>
          <w:b/>
          <w:sz w:val="24"/>
          <w:szCs w:val="24"/>
        </w:rPr>
        <w:t>项目采购的数量、交付或实施的时间和地点</w:t>
      </w:r>
    </w:p>
    <w:p>
      <w:pPr>
        <w:spacing w:line="520" w:lineRule="exact"/>
        <w:ind w:firstLine="480" w:firstLineChars="200"/>
        <w:rPr>
          <w:rFonts w:hint="eastAsia" w:asciiTheme="minorEastAsia" w:hAnsiTheme="minorEastAsia" w:eastAsiaTheme="minorEastAsia" w:cstheme="minorEastAsia"/>
          <w:bCs/>
          <w:sz w:val="24"/>
          <w:szCs w:val="24"/>
        </w:rPr>
      </w:pPr>
      <w:r>
        <w:rPr>
          <w:rFonts w:hint="eastAsia" w:asciiTheme="minorEastAsia" w:hAnsiTheme="minorEastAsia" w:eastAsiaTheme="minorEastAsia" w:cstheme="minorEastAsia"/>
          <w:bCs/>
          <w:sz w:val="24"/>
          <w:szCs w:val="24"/>
          <w:lang w:val="zh-CN"/>
        </w:rPr>
        <w:t>1.</w:t>
      </w:r>
      <w:r>
        <w:rPr>
          <w:rFonts w:hint="eastAsia" w:asciiTheme="minorEastAsia" w:hAnsiTheme="minorEastAsia" w:eastAsiaTheme="minorEastAsia" w:cstheme="minorEastAsia"/>
          <w:bCs/>
          <w:sz w:val="24"/>
          <w:szCs w:val="24"/>
        </w:rPr>
        <w:t>采购数量：1套。</w:t>
      </w:r>
    </w:p>
    <w:p>
      <w:pPr>
        <w:spacing w:line="520" w:lineRule="exact"/>
        <w:ind w:firstLine="480" w:firstLineChars="200"/>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eastAsia="zh-CN"/>
        </w:rPr>
        <w:t>2.</w:t>
      </w:r>
      <w:r>
        <w:rPr>
          <w:rFonts w:hint="eastAsia" w:asciiTheme="minorEastAsia" w:hAnsiTheme="minorEastAsia" w:eastAsiaTheme="minorEastAsia" w:cstheme="minorEastAsia"/>
          <w:bCs/>
          <w:sz w:val="24"/>
          <w:szCs w:val="24"/>
          <w:lang w:val="zh-CN"/>
        </w:rPr>
        <w:t>签订合同日期：自成交通知书发出之日起</w:t>
      </w:r>
      <w:r>
        <w:rPr>
          <w:rFonts w:hint="eastAsia" w:asciiTheme="minorEastAsia" w:hAnsiTheme="minorEastAsia" w:eastAsiaTheme="minorEastAsia" w:cstheme="minorEastAsia"/>
          <w:bCs/>
          <w:sz w:val="24"/>
          <w:szCs w:val="24"/>
          <w:highlight w:val="yellow"/>
          <w:lang w:val="en-US" w:eastAsia="zh-CN"/>
        </w:rPr>
        <w:t>15</w:t>
      </w:r>
      <w:r>
        <w:rPr>
          <w:rFonts w:hint="eastAsia" w:asciiTheme="minorEastAsia" w:hAnsiTheme="minorEastAsia" w:eastAsiaTheme="minorEastAsia" w:cstheme="minorEastAsia"/>
          <w:bCs/>
          <w:sz w:val="24"/>
          <w:szCs w:val="24"/>
          <w:highlight w:val="yellow"/>
          <w:lang w:val="zh-CN"/>
        </w:rPr>
        <w:t>日</w:t>
      </w:r>
      <w:r>
        <w:rPr>
          <w:rFonts w:hint="eastAsia" w:asciiTheme="minorEastAsia" w:hAnsiTheme="minorEastAsia" w:eastAsiaTheme="minorEastAsia" w:cstheme="minorEastAsia"/>
          <w:bCs/>
          <w:sz w:val="24"/>
          <w:szCs w:val="24"/>
          <w:lang w:val="zh-CN"/>
        </w:rPr>
        <w:t>内按时签约。</w:t>
      </w:r>
    </w:p>
    <w:p>
      <w:pPr>
        <w:spacing w:line="520" w:lineRule="exact"/>
        <w:ind w:firstLine="480" w:firstLineChars="200"/>
        <w:rPr>
          <w:rFonts w:hint="eastAsia" w:asciiTheme="minorEastAsia" w:hAnsiTheme="minorEastAsia" w:eastAsiaTheme="minorEastAsia" w:cstheme="minorEastAsia"/>
          <w:bCs/>
          <w:sz w:val="24"/>
          <w:szCs w:val="24"/>
          <w:lang w:val="en-US" w:eastAsia="zh-CN"/>
        </w:rPr>
      </w:pPr>
      <w:r>
        <w:rPr>
          <w:rFonts w:hint="eastAsia" w:asciiTheme="minorEastAsia" w:hAnsiTheme="minorEastAsia" w:eastAsiaTheme="minorEastAsia" w:cstheme="minorEastAsia"/>
          <w:bCs/>
          <w:sz w:val="24"/>
          <w:szCs w:val="24"/>
          <w:lang w:eastAsia="zh-CN"/>
        </w:rPr>
        <w:t>3.</w:t>
      </w:r>
      <w:r>
        <w:rPr>
          <w:rFonts w:hint="eastAsia" w:asciiTheme="minorEastAsia" w:hAnsiTheme="minorEastAsia" w:eastAsiaTheme="minorEastAsia" w:cstheme="minorEastAsia"/>
          <w:bCs/>
          <w:sz w:val="24"/>
          <w:szCs w:val="24"/>
          <w:lang w:val="zh-CN"/>
        </w:rPr>
        <w:t>交付时间：合同正式签署生效起</w:t>
      </w:r>
      <w:r>
        <w:rPr>
          <w:rFonts w:hint="eastAsia" w:asciiTheme="minorEastAsia" w:hAnsiTheme="minorEastAsia" w:eastAsiaTheme="minorEastAsia" w:cstheme="minorEastAsia"/>
          <w:bCs/>
          <w:sz w:val="24"/>
          <w:szCs w:val="24"/>
        </w:rPr>
        <w:t>15个工作日</w:t>
      </w:r>
      <w:r>
        <w:rPr>
          <w:rFonts w:hint="eastAsia" w:asciiTheme="minorEastAsia" w:hAnsiTheme="minorEastAsia" w:eastAsiaTheme="minorEastAsia" w:cstheme="minorEastAsia"/>
          <w:bCs/>
          <w:sz w:val="24"/>
          <w:szCs w:val="24"/>
          <w:lang w:val="zh-CN"/>
        </w:rPr>
        <w:t>内完成。</w:t>
      </w:r>
    </w:p>
    <w:p>
      <w:pPr>
        <w:numPr>
          <w:ilvl w:val="0"/>
          <w:numId w:val="0"/>
        </w:numPr>
        <w:ind w:leftChars="0"/>
        <w:rPr>
          <w:rFonts w:hint="default" w:ascii="宋体" w:hAnsi="宋体" w:cs="宋体"/>
          <w:b/>
          <w:bCs/>
          <w:sz w:val="24"/>
          <w:szCs w:val="24"/>
          <w:highlight w:val="none"/>
          <w:lang w:val="en-US" w:eastAsia="zh-CN"/>
        </w:rPr>
      </w:pPr>
      <w:r>
        <w:rPr>
          <w:rFonts w:hint="eastAsia" w:ascii="宋体" w:hAnsi="宋体" w:cs="宋体"/>
          <w:b/>
          <w:bCs/>
          <w:sz w:val="24"/>
          <w:szCs w:val="24"/>
          <w:highlight w:val="none"/>
          <w:lang w:val="en-US" w:eastAsia="zh-CN"/>
        </w:rPr>
        <w:t>五、</w:t>
      </w:r>
      <w:r>
        <w:rPr>
          <w:rFonts w:hint="eastAsia" w:asciiTheme="minorEastAsia" w:hAnsiTheme="minorEastAsia"/>
          <w:b/>
          <w:sz w:val="24"/>
          <w:szCs w:val="24"/>
        </w:rPr>
        <w:t>项目需满足的服务标准、期限、效率等要求</w:t>
      </w:r>
    </w:p>
    <w:p>
      <w:pPr>
        <w:spacing w:line="520" w:lineRule="exact"/>
        <w:ind w:firstLine="480" w:firstLineChars="200"/>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（1）供应商应对照磋商文件要求，书面说明已对采购人的需求做出了实质性的响应，或申明与需求的偏差和例外。</w:t>
      </w:r>
    </w:p>
    <w:p>
      <w:pPr>
        <w:spacing w:line="520" w:lineRule="exact"/>
        <w:ind w:firstLine="480" w:firstLineChars="200"/>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（2）如果发生因供应商安全措施不力造成的事故责任、或者其他工作失误，由此所产生的一切责任由供应商承担。</w:t>
      </w:r>
    </w:p>
    <w:p>
      <w:pPr>
        <w:numPr>
          <w:ilvl w:val="0"/>
          <w:numId w:val="0"/>
        </w:numPr>
        <w:snapToGrid w:val="0"/>
        <w:spacing w:line="480" w:lineRule="exact"/>
        <w:jc w:val="both"/>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六、项目的验收标准</w:t>
      </w:r>
    </w:p>
    <w:p>
      <w:pPr>
        <w:spacing w:line="520" w:lineRule="exact"/>
        <w:ind w:firstLine="480" w:firstLineChars="200"/>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项目的工作内容及成果文档的提交应包括但不限于以下内容，电子文档是成果不可分割的部分。</w:t>
      </w:r>
    </w:p>
    <w:p>
      <w:pPr>
        <w:spacing w:line="520" w:lineRule="exact"/>
        <w:ind w:firstLine="480" w:firstLineChars="200"/>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en-US" w:eastAsia="zh-CN"/>
        </w:rPr>
        <w:t>1.</w:t>
      </w:r>
      <w:r>
        <w:rPr>
          <w:rFonts w:hint="eastAsia" w:asciiTheme="minorEastAsia" w:hAnsiTheme="minorEastAsia" w:eastAsiaTheme="minorEastAsia" w:cstheme="minorEastAsia"/>
          <w:bCs/>
          <w:sz w:val="24"/>
          <w:szCs w:val="24"/>
          <w:lang w:val="zh-CN"/>
        </w:rPr>
        <w:t>系统的体系架构及描述；</w:t>
      </w:r>
    </w:p>
    <w:p>
      <w:pPr>
        <w:spacing w:line="520" w:lineRule="exact"/>
        <w:ind w:firstLine="480" w:firstLineChars="200"/>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en-US" w:eastAsia="zh-CN"/>
        </w:rPr>
        <w:t>2.</w:t>
      </w:r>
      <w:r>
        <w:rPr>
          <w:rFonts w:hint="eastAsia" w:asciiTheme="minorEastAsia" w:hAnsiTheme="minorEastAsia" w:eastAsiaTheme="minorEastAsia" w:cstheme="minorEastAsia"/>
          <w:bCs/>
          <w:sz w:val="24"/>
          <w:szCs w:val="24"/>
          <w:lang w:val="zh-CN"/>
        </w:rPr>
        <w:t>提供的其它技术手册；</w:t>
      </w:r>
    </w:p>
    <w:p>
      <w:pPr>
        <w:spacing w:line="520" w:lineRule="exact"/>
        <w:ind w:firstLine="480" w:firstLineChars="200"/>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en-US" w:eastAsia="zh-CN"/>
        </w:rPr>
        <w:t>3.</w:t>
      </w:r>
      <w:r>
        <w:rPr>
          <w:rFonts w:hint="eastAsia" w:asciiTheme="minorEastAsia" w:hAnsiTheme="minorEastAsia" w:eastAsiaTheme="minorEastAsia" w:cstheme="minorEastAsia"/>
          <w:bCs/>
          <w:sz w:val="24"/>
          <w:szCs w:val="24"/>
          <w:lang w:val="zh-CN"/>
        </w:rPr>
        <w:t>需求规格说明书；</w:t>
      </w:r>
    </w:p>
    <w:p>
      <w:pPr>
        <w:spacing w:line="520" w:lineRule="exact"/>
        <w:ind w:firstLine="480" w:firstLineChars="200"/>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en-US" w:eastAsia="zh-CN"/>
        </w:rPr>
        <w:t>4.</w:t>
      </w:r>
      <w:r>
        <w:rPr>
          <w:rFonts w:hint="eastAsia" w:asciiTheme="minorEastAsia" w:hAnsiTheme="minorEastAsia" w:eastAsiaTheme="minorEastAsia" w:cstheme="minorEastAsia"/>
          <w:bCs/>
          <w:sz w:val="24"/>
          <w:szCs w:val="24"/>
          <w:lang w:val="zh-CN"/>
        </w:rPr>
        <w:t>软件培训资料；系统实施确认书；</w:t>
      </w:r>
    </w:p>
    <w:p>
      <w:pPr>
        <w:spacing w:line="520" w:lineRule="exact"/>
        <w:ind w:firstLine="480" w:firstLineChars="200"/>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en-US" w:eastAsia="zh-CN"/>
        </w:rPr>
        <w:t>5.</w:t>
      </w:r>
      <w:r>
        <w:rPr>
          <w:rFonts w:hint="eastAsia" w:asciiTheme="minorEastAsia" w:hAnsiTheme="minorEastAsia" w:eastAsiaTheme="minorEastAsia" w:cstheme="minorEastAsia"/>
          <w:bCs/>
          <w:sz w:val="24"/>
          <w:szCs w:val="24"/>
          <w:lang w:val="zh-CN"/>
        </w:rPr>
        <w:t>项目的其它资料等。</w:t>
      </w:r>
    </w:p>
    <w:p>
      <w:pPr>
        <w:numPr>
          <w:ilvl w:val="0"/>
          <w:numId w:val="0"/>
        </w:numPr>
        <w:snapToGrid w:val="0"/>
        <w:spacing w:line="480" w:lineRule="exact"/>
        <w:jc w:val="both"/>
        <w:rPr>
          <w:rFonts w:hint="eastAsia" w:ascii="宋体" w:hAnsi="宋体" w:cs="宋体"/>
          <w:b/>
          <w:bCs/>
          <w:color w:val="auto"/>
          <w:sz w:val="24"/>
          <w:szCs w:val="24"/>
          <w:highlight w:val="none"/>
          <w:lang w:val="en-US" w:eastAsia="zh-CN"/>
        </w:rPr>
      </w:pPr>
      <w:r>
        <w:rPr>
          <w:rFonts w:hint="eastAsia" w:ascii="宋体" w:hAnsi="宋体" w:cs="宋体"/>
          <w:b/>
          <w:bCs/>
          <w:color w:val="auto"/>
          <w:sz w:val="24"/>
          <w:szCs w:val="24"/>
          <w:highlight w:val="none"/>
          <w:lang w:val="en-US" w:eastAsia="zh-CN"/>
        </w:rPr>
        <w:t>七、项目的的其他技术、服务等要求</w:t>
      </w:r>
    </w:p>
    <w:p>
      <w:pPr>
        <w:spacing w:line="520" w:lineRule="exact"/>
        <w:ind w:firstLine="480" w:firstLineChars="200"/>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自产品服务稳定运行并通过验收后，免费质保1年。</w:t>
      </w:r>
    </w:p>
    <w:p>
      <w:pPr>
        <w:pStyle w:val="63"/>
        <w:numPr>
          <w:ilvl w:val="0"/>
          <w:numId w:val="2"/>
        </w:numPr>
        <w:ind w:left="0" w:leftChars="0" w:firstLine="0" w:firstLineChars="0"/>
        <w:rPr>
          <w:rFonts w:hint="eastAsia" w:asciiTheme="minorEastAsia" w:hAnsiTheme="minorEastAsia"/>
          <w:b/>
          <w:bCs w:val="0"/>
          <w:sz w:val="24"/>
          <w:szCs w:val="24"/>
        </w:rPr>
      </w:pPr>
      <w:r>
        <w:rPr>
          <w:rFonts w:hint="eastAsia" w:asciiTheme="minorEastAsia" w:hAnsiTheme="minorEastAsia"/>
          <w:b/>
          <w:bCs w:val="0"/>
          <w:sz w:val="24"/>
          <w:szCs w:val="24"/>
        </w:rPr>
        <w:t>项目付款条件</w:t>
      </w:r>
    </w:p>
    <w:p>
      <w:pPr>
        <w:spacing w:line="520" w:lineRule="exact"/>
        <w:ind w:firstLine="480" w:firstLineChars="200"/>
        <w:rPr>
          <w:rFonts w:hint="eastAsia" w:asciiTheme="minorEastAsia" w:hAnsiTheme="minorEastAsia" w:eastAsiaTheme="minorEastAsia" w:cstheme="minorEastAsia"/>
          <w:bCs/>
          <w:sz w:val="24"/>
          <w:szCs w:val="24"/>
          <w:lang w:val="zh-CN"/>
        </w:rPr>
      </w:pPr>
      <w:r>
        <w:rPr>
          <w:rFonts w:hint="eastAsia" w:asciiTheme="minorEastAsia" w:hAnsiTheme="minorEastAsia" w:eastAsiaTheme="minorEastAsia" w:cstheme="minorEastAsia"/>
          <w:bCs/>
          <w:sz w:val="24"/>
          <w:szCs w:val="24"/>
          <w:lang w:val="zh-CN"/>
        </w:rPr>
        <w:t>项目合同签定后支付合同金额30%，验收合格后支付合同金额的60%，剩余10%款项待质保期满后一次性付清（不计息）。</w:t>
      </w:r>
    </w:p>
    <w:p>
      <w:pPr>
        <w:pStyle w:val="63"/>
        <w:numPr>
          <w:ilvl w:val="0"/>
          <w:numId w:val="0"/>
        </w:numPr>
        <w:ind w:leftChars="0"/>
        <w:rPr>
          <w:rFonts w:hint="eastAsia" w:asciiTheme="minorEastAsia" w:hAnsiTheme="minorEastAsia"/>
          <w:b/>
          <w:bCs w:val="0"/>
          <w:sz w:val="24"/>
          <w:szCs w:val="24"/>
          <w:lang w:val="en-US" w:eastAsia="zh-CN"/>
        </w:rPr>
      </w:pPr>
    </w:p>
    <w:p>
      <w:pPr>
        <w:snapToGrid w:val="0"/>
        <w:spacing w:line="480" w:lineRule="exact"/>
        <w:ind w:firstLine="707" w:firstLineChars="200"/>
        <w:jc w:val="center"/>
        <w:rPr>
          <w:rFonts w:ascii="宋体" w:cs="宋体"/>
          <w:b/>
          <w:color w:val="auto"/>
          <w:w w:val="80"/>
          <w:sz w:val="44"/>
          <w:szCs w:val="44"/>
          <w:highlight w:val="none"/>
        </w:rPr>
      </w:pPr>
      <w:r>
        <w:rPr>
          <w:rFonts w:hint="eastAsia" w:ascii="宋体" w:hAnsi="宋体" w:cs="宋体"/>
          <w:b/>
          <w:color w:val="auto"/>
          <w:w w:val="80"/>
          <w:sz w:val="44"/>
          <w:szCs w:val="44"/>
          <w:highlight w:val="none"/>
        </w:rPr>
        <w:br w:type="page"/>
      </w:r>
      <w:r>
        <w:rPr>
          <w:rFonts w:hint="eastAsia" w:ascii="宋体" w:hAnsi="宋体" w:cs="宋体"/>
          <w:b/>
          <w:color w:val="auto"/>
          <w:w w:val="80"/>
          <w:sz w:val="44"/>
          <w:szCs w:val="44"/>
          <w:highlight w:val="none"/>
        </w:rPr>
        <w:t>第四章</w:t>
      </w:r>
      <w:r>
        <w:rPr>
          <w:rFonts w:ascii="宋体" w:hAnsi="宋体" w:cs="宋体"/>
          <w:b/>
          <w:color w:val="auto"/>
          <w:w w:val="80"/>
          <w:sz w:val="44"/>
          <w:szCs w:val="44"/>
          <w:highlight w:val="none"/>
        </w:rPr>
        <w:t xml:space="preserve">  </w:t>
      </w:r>
      <w:bookmarkEnd w:id="45"/>
      <w:bookmarkEnd w:id="46"/>
      <w:bookmarkEnd w:id="47"/>
      <w:bookmarkEnd w:id="48"/>
      <w:bookmarkEnd w:id="49"/>
      <w:bookmarkEnd w:id="50"/>
      <w:bookmarkEnd w:id="51"/>
      <w:bookmarkEnd w:id="52"/>
      <w:bookmarkEnd w:id="53"/>
      <w:bookmarkEnd w:id="54"/>
      <w:bookmarkEnd w:id="55"/>
      <w:bookmarkStart w:id="57" w:name="_Toc37322565"/>
      <w:bookmarkStart w:id="58" w:name="_Toc43217893"/>
      <w:bookmarkStart w:id="59" w:name="_Toc182848996"/>
      <w:bookmarkStart w:id="60" w:name="_Toc38121794"/>
      <w:bookmarkStart w:id="61" w:name="_Toc85627670"/>
      <w:bookmarkStart w:id="62" w:name="_Toc8895742"/>
      <w:bookmarkStart w:id="63" w:name="_Toc94544873"/>
      <w:bookmarkStart w:id="64" w:name="_Toc11554642"/>
      <w:bookmarkStart w:id="65" w:name="_Toc11500283"/>
      <w:bookmarkStart w:id="66" w:name="_Toc94544747"/>
      <w:bookmarkStart w:id="67" w:name="_Toc11499587"/>
      <w:bookmarkStart w:id="68" w:name="_Toc13803484"/>
      <w:bookmarkStart w:id="69" w:name="_Toc12670506"/>
      <w:r>
        <w:rPr>
          <w:rFonts w:hint="eastAsia" w:ascii="宋体" w:hAnsi="宋体" w:cs="宋体"/>
          <w:b/>
          <w:color w:val="auto"/>
          <w:w w:val="80"/>
          <w:sz w:val="44"/>
          <w:szCs w:val="44"/>
          <w:highlight w:val="none"/>
        </w:rPr>
        <w:t>评审方法和程序</w:t>
      </w:r>
      <w:bookmarkEnd w:id="56"/>
    </w:p>
    <w:bookmarkEnd w:id="57"/>
    <w:bookmarkEnd w:id="58"/>
    <w:bookmarkEnd w:id="59"/>
    <w:bookmarkEnd w:id="60"/>
    <w:bookmarkEnd w:id="61"/>
    <w:p>
      <w:pPr>
        <w:snapToGrid w:val="0"/>
        <w:spacing w:line="480" w:lineRule="exact"/>
        <w:ind w:firstLine="482" w:firstLineChars="200"/>
        <w:outlineLvl w:val="1"/>
        <w:rPr>
          <w:rFonts w:ascii="宋体" w:cs="宋体"/>
          <w:b/>
          <w:color w:val="auto"/>
          <w:sz w:val="24"/>
          <w:szCs w:val="24"/>
          <w:highlight w:val="none"/>
        </w:rPr>
      </w:pPr>
      <w:bookmarkStart w:id="70" w:name="_Toc363573857"/>
      <w:bookmarkEnd w:id="70"/>
      <w:r>
        <w:rPr>
          <w:rFonts w:hint="eastAsia" w:ascii="宋体" w:hAnsi="宋体" w:cs="宋体"/>
          <w:b/>
          <w:color w:val="auto"/>
          <w:sz w:val="24"/>
          <w:szCs w:val="24"/>
          <w:highlight w:val="none"/>
        </w:rPr>
        <w:t>一、代理机构组织磋商</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cs="宋体"/>
          <w:color w:val="auto"/>
          <w:sz w:val="24"/>
          <w:szCs w:val="24"/>
          <w:highlight w:val="none"/>
        </w:rPr>
        <w:t>本次竞争性磋商依据有关法规成立磋商小组。磋商小组由</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人组成。</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磋商小组的职责：</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）磋商小组成员应当按照客观、公正、审慎的原则，根据磋商文件规定的评审程序、评审方法和评审标准进行独立评审。</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）磋商小组成员应当遵守评审工作纪律，不得泄露评审情况和评审中获悉的商业秘密，对个人的评审意见承担法律责任。</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3</w:t>
      </w:r>
      <w:r>
        <w:rPr>
          <w:rFonts w:hint="eastAsia" w:ascii="宋体" w:hAnsi="宋体" w:cs="宋体"/>
          <w:color w:val="auto"/>
          <w:sz w:val="24"/>
          <w:szCs w:val="24"/>
          <w:highlight w:val="none"/>
        </w:rPr>
        <w:t>）磋商小组成员在评审过程中发现供应商有行贿、提供虚假材料或者串通等违法行为的，应当及时向</w:t>
      </w:r>
      <w:r>
        <w:rPr>
          <w:rFonts w:hint="eastAsia" w:ascii="宋体" w:hAnsi="宋体" w:cs="宋体"/>
          <w:color w:val="auto"/>
          <w:sz w:val="24"/>
          <w:szCs w:val="24"/>
          <w:highlight w:val="none"/>
          <w:lang w:val="en-US" w:eastAsia="zh-CN"/>
        </w:rPr>
        <w:t>上级</w:t>
      </w:r>
      <w:r>
        <w:rPr>
          <w:rFonts w:hint="eastAsia" w:ascii="宋体" w:hAnsi="宋体" w:cs="宋体"/>
          <w:color w:val="auto"/>
          <w:sz w:val="24"/>
          <w:szCs w:val="24"/>
          <w:highlight w:val="none"/>
        </w:rPr>
        <w:t>部门报告</w:t>
      </w:r>
      <w:r>
        <w:rPr>
          <w:rFonts w:ascii="宋体" w:cs="宋体"/>
          <w:color w:val="auto"/>
          <w:sz w:val="24"/>
          <w:szCs w:val="24"/>
          <w:highlight w:val="none"/>
        </w:rPr>
        <w:t>,</w:t>
      </w:r>
      <w:r>
        <w:rPr>
          <w:rFonts w:hint="eastAsia" w:ascii="宋体" w:hAnsi="宋体" w:cs="宋体"/>
          <w:color w:val="auto"/>
          <w:sz w:val="24"/>
          <w:szCs w:val="24"/>
          <w:highlight w:val="none"/>
        </w:rPr>
        <w:t>并建议将其列入采购黑名单。</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4</w:t>
      </w:r>
      <w:r>
        <w:rPr>
          <w:rFonts w:hint="eastAsia" w:ascii="宋体" w:hAnsi="宋体" w:cs="宋体"/>
          <w:color w:val="auto"/>
          <w:sz w:val="24"/>
          <w:szCs w:val="24"/>
          <w:highlight w:val="none"/>
        </w:rPr>
        <w:t>）磋商小组成员在评审过程中受到非法干涉的，应当及时向监察部门举报。</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5</w:t>
      </w:r>
      <w:r>
        <w:rPr>
          <w:rFonts w:hint="eastAsia" w:ascii="宋体" w:hAnsi="宋体" w:cs="宋体"/>
          <w:color w:val="auto"/>
          <w:sz w:val="24"/>
          <w:szCs w:val="24"/>
          <w:highlight w:val="none"/>
        </w:rPr>
        <w:t>）配合采购单位答复供应商提出的质疑；配合</w:t>
      </w:r>
      <w:r>
        <w:rPr>
          <w:rFonts w:hint="eastAsia" w:ascii="宋体" w:hAnsi="宋体" w:cs="宋体"/>
          <w:color w:val="auto"/>
          <w:sz w:val="24"/>
          <w:szCs w:val="24"/>
          <w:highlight w:val="none"/>
          <w:lang w:val="en-US" w:eastAsia="zh-CN"/>
        </w:rPr>
        <w:t>上级</w:t>
      </w:r>
      <w:r>
        <w:rPr>
          <w:rFonts w:hint="eastAsia" w:ascii="宋体" w:hAnsi="宋体" w:cs="宋体"/>
          <w:color w:val="auto"/>
          <w:sz w:val="24"/>
          <w:szCs w:val="24"/>
          <w:highlight w:val="none"/>
        </w:rPr>
        <w:t>部门的投诉处理和监督检查工作。</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评审有关记录由磋商小组成员签名，存档备查。</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供应商的法定代表人或被授权人须持身份证准时参加磋商开标会。</w:t>
      </w:r>
    </w:p>
    <w:p>
      <w:pPr>
        <w:snapToGrid w:val="0"/>
        <w:spacing w:line="480" w:lineRule="exact"/>
        <w:ind w:firstLine="482" w:firstLineChars="200"/>
        <w:outlineLvl w:val="1"/>
        <w:rPr>
          <w:rFonts w:ascii="宋体" w:cs="宋体"/>
          <w:b/>
          <w:color w:val="auto"/>
          <w:sz w:val="24"/>
          <w:szCs w:val="24"/>
          <w:highlight w:val="none"/>
        </w:rPr>
      </w:pPr>
      <w:r>
        <w:rPr>
          <w:rFonts w:hint="eastAsia" w:ascii="宋体" w:hAnsi="宋体" w:cs="宋体"/>
          <w:b/>
          <w:color w:val="auto"/>
          <w:sz w:val="24"/>
          <w:szCs w:val="24"/>
          <w:highlight w:val="none"/>
        </w:rPr>
        <w:t>二、磋商的原则及方法</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cs="宋体"/>
          <w:color w:val="auto"/>
          <w:sz w:val="24"/>
          <w:szCs w:val="24"/>
          <w:highlight w:val="none"/>
        </w:rPr>
        <w:t>磋商小组依据相关法规，遵循“公开、公平、公正、择优、信用”的原则进行磋商评审。</w:t>
      </w:r>
    </w:p>
    <w:p>
      <w:pPr>
        <w:snapToGrid w:val="0"/>
        <w:spacing w:line="480" w:lineRule="exact"/>
        <w:ind w:firstLine="484" w:firstLineChars="202"/>
        <w:rPr>
          <w:rFonts w:ascii="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cs="宋体"/>
          <w:color w:val="auto"/>
          <w:sz w:val="24"/>
          <w:szCs w:val="24"/>
          <w:highlight w:val="none"/>
        </w:rPr>
        <w:t>磋商小组将独立对每个进入打分程序的有效投标供应商的响应文件的技术部分以打分的形式进行评审和评价。技术分是所有评委打分的算术平均值（计算结果均四舍五入保留两位小数）。</w:t>
      </w:r>
      <w:r>
        <w:rPr>
          <w:rFonts w:ascii="宋体" w:hAnsi="宋体" w:cs="宋体"/>
          <w:color w:val="auto"/>
          <w:sz w:val="24"/>
          <w:szCs w:val="24"/>
          <w:highlight w:val="none"/>
        </w:rPr>
        <w:t xml:space="preserve"> </w:t>
      </w:r>
    </w:p>
    <w:p>
      <w:pPr>
        <w:snapToGrid w:val="0"/>
        <w:spacing w:line="480" w:lineRule="exact"/>
        <w:ind w:firstLine="484" w:firstLineChars="202"/>
        <w:rPr>
          <w:rFonts w:ascii="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cs="宋体"/>
          <w:color w:val="auto"/>
          <w:sz w:val="24"/>
          <w:szCs w:val="24"/>
          <w:highlight w:val="none"/>
        </w:rPr>
        <w:t>磋商小组根据磋商文件规定的程序、评定成交的标准等事项与实质性响应磋商文件要求的供应商进行磋商。未实质性响应磋商文件要求的响应文件按无效处理，磋商小组应当告知提交响应文件的供应商。</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cs="宋体"/>
          <w:color w:val="auto"/>
          <w:sz w:val="24"/>
          <w:szCs w:val="24"/>
          <w:highlight w:val="none"/>
        </w:rPr>
        <w:t>磋商小组所有成员</w:t>
      </w:r>
      <w:r>
        <w:rPr>
          <w:rFonts w:hint="eastAsia" w:ascii="宋体" w:hAnsi="宋体" w:cs="宋体"/>
          <w:color w:val="auto"/>
          <w:sz w:val="24"/>
          <w:szCs w:val="24"/>
          <w:highlight w:val="none"/>
          <w:lang w:val="en-US" w:eastAsia="zh-CN"/>
        </w:rPr>
        <w:t>可</w:t>
      </w:r>
      <w:r>
        <w:rPr>
          <w:rFonts w:hint="eastAsia" w:ascii="宋体" w:hAnsi="宋体" w:cs="宋体"/>
          <w:color w:val="auto"/>
          <w:sz w:val="24"/>
          <w:szCs w:val="24"/>
          <w:highlight w:val="none"/>
        </w:rPr>
        <w:t>集中与单一供应商分别进行磋商，并给予所有参加磋商的供应商平等的磋商机会。</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eastAsia="zh-CN"/>
        </w:rPr>
        <w:t>5.</w:t>
      </w:r>
      <w:r>
        <w:rPr>
          <w:rFonts w:hint="eastAsia" w:ascii="宋体" w:hAnsi="宋体" w:cs="宋体"/>
          <w:color w:val="auto"/>
          <w:sz w:val="24"/>
          <w:szCs w:val="24"/>
          <w:highlight w:val="none"/>
        </w:rPr>
        <w:t>在磋商过程中，磋商小组可以根据磋商文件和磋商情况实质性变动采购需求中的技术、服务要求以及合同草案条款，但不得变动磋商文件中的其他内容。实质性变动的内容，须经采购单位代表确认。</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eastAsia="zh-CN"/>
        </w:rPr>
        <w:t>6.</w:t>
      </w:r>
      <w:r>
        <w:rPr>
          <w:rFonts w:hint="eastAsia" w:ascii="宋体" w:hAnsi="宋体" w:cs="宋体"/>
          <w:color w:val="auto"/>
          <w:sz w:val="24"/>
          <w:szCs w:val="24"/>
          <w:highlight w:val="none"/>
        </w:rPr>
        <w:t>对磋商文件作出的实质性变动是磋商文件的有效组成部分，磋商小组应当及时以书面形式同时通知所有参加磋商的供应商。</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eastAsia="zh-CN"/>
        </w:rPr>
        <w:t>7.</w:t>
      </w:r>
      <w:r>
        <w:rPr>
          <w:rFonts w:hint="eastAsia" w:ascii="宋体" w:hAnsi="宋体" w:cs="宋体"/>
          <w:color w:val="auto"/>
          <w:sz w:val="24"/>
          <w:szCs w:val="24"/>
          <w:highlight w:val="none"/>
        </w:rPr>
        <w:t>供应商应当按照磋商文件的变动情况和磋商小组的要求重新提交响应文件，并由其法定代表人或被授权人签字或者加盖公章。由被授权人签字的，应当附法定代表人授权书。供应商为自然人的，应当由本人签字并附身份证明。</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eastAsia="zh-CN"/>
        </w:rPr>
        <w:t>8.</w:t>
      </w:r>
      <w:r>
        <w:rPr>
          <w:rFonts w:hint="eastAsia" w:ascii="宋体" w:hAnsi="宋体" w:cs="宋体"/>
          <w:color w:val="auto"/>
          <w:sz w:val="24"/>
          <w:szCs w:val="24"/>
          <w:highlight w:val="none"/>
        </w:rPr>
        <w:t>经磋商确定最终采购需求和提交最后报价的供应商：磋商文件能够详细列明采购标的的技术、服务要求的，磋商结束后，磋商小组应当要求所有实质性响应的供应商在规定时间内提交最后报价。</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eastAsia="zh-CN"/>
        </w:rPr>
        <w:t>9.</w:t>
      </w:r>
      <w:r>
        <w:rPr>
          <w:rFonts w:hint="eastAsia" w:ascii="宋体" w:hAnsi="宋体" w:cs="宋体"/>
          <w:color w:val="auto"/>
          <w:sz w:val="24"/>
          <w:szCs w:val="24"/>
          <w:highlight w:val="none"/>
        </w:rPr>
        <w:t>磋商文件不能详细列明采购标的的技术、服务要求，需经磋商由供应商提供最终设计方案或解决方案的，磋商结束后，磋商小组应当按照少数服从多数的原则投票推荐</w:t>
      </w:r>
      <w:r>
        <w:rPr>
          <w:rFonts w:ascii="宋体" w:hAnsi="宋体" w:cs="宋体"/>
          <w:color w:val="auto"/>
          <w:sz w:val="24"/>
          <w:szCs w:val="24"/>
          <w:highlight w:val="none"/>
        </w:rPr>
        <w:t>3</w:t>
      </w:r>
      <w:r>
        <w:rPr>
          <w:rFonts w:hint="eastAsia" w:ascii="宋体" w:hAnsi="宋体" w:cs="宋体"/>
          <w:color w:val="auto"/>
          <w:sz w:val="24"/>
          <w:szCs w:val="24"/>
          <w:highlight w:val="none"/>
        </w:rPr>
        <w:t>家以上供应商的设计方案或者解决方案，并要求其在规定时间内提交最后报价。</w:t>
      </w:r>
    </w:p>
    <w:p>
      <w:pPr>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lang w:eastAsia="zh-CN"/>
        </w:rPr>
        <w:t>0.</w:t>
      </w:r>
      <w:r>
        <w:rPr>
          <w:rFonts w:hint="eastAsia" w:ascii="宋体" w:hAnsi="宋体" w:cs="宋体"/>
          <w:color w:val="auto"/>
          <w:sz w:val="24"/>
          <w:szCs w:val="24"/>
          <w:highlight w:val="none"/>
        </w:rPr>
        <w:t>除非在磋商中磋商小组对采购单位需求内容作了调整增加，或对采购内容作了实质性变更，否则</w:t>
      </w:r>
      <w:r>
        <w:rPr>
          <w:rFonts w:hint="eastAsia" w:ascii="宋体" w:hAnsi="宋体" w:cs="宋体"/>
          <w:b/>
          <w:color w:val="auto"/>
          <w:sz w:val="24"/>
          <w:szCs w:val="24"/>
          <w:highlight w:val="none"/>
        </w:rPr>
        <w:t>采购单位不接受供应商高于自己前一轮的磋商报价</w:t>
      </w:r>
      <w:r>
        <w:rPr>
          <w:rFonts w:hint="eastAsia" w:ascii="宋体" w:hAnsi="宋体" w:cs="宋体"/>
          <w:color w:val="auto"/>
          <w:sz w:val="24"/>
          <w:szCs w:val="24"/>
          <w:highlight w:val="none"/>
        </w:rPr>
        <w:t>。</w:t>
      </w:r>
    </w:p>
    <w:p>
      <w:pPr>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lang w:eastAsia="zh-CN"/>
        </w:rPr>
        <w:t>1.</w:t>
      </w:r>
      <w:r>
        <w:rPr>
          <w:rFonts w:hint="eastAsia" w:ascii="宋体" w:hAnsi="宋体" w:cs="宋体"/>
          <w:color w:val="auto"/>
          <w:sz w:val="24"/>
          <w:szCs w:val="24"/>
          <w:highlight w:val="none"/>
        </w:rPr>
        <w:t>对于在磋商顺利开始后至最终报价前，根据磋商情况退出磋商的供应商，须以书面形式说明退出磋商的原因，经磋商小组同意可以退出磋商。</w:t>
      </w:r>
    </w:p>
    <w:p>
      <w:pPr>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lang w:eastAsia="zh-CN"/>
        </w:rPr>
        <w:t>2.</w:t>
      </w:r>
      <w:r>
        <w:rPr>
          <w:rFonts w:hint="eastAsia" w:ascii="宋体" w:hAnsi="宋体" w:cs="宋体"/>
          <w:color w:val="auto"/>
          <w:sz w:val="24"/>
          <w:szCs w:val="24"/>
          <w:highlight w:val="none"/>
        </w:rPr>
        <w:t>在磋商中，磋商的任何一方不得透露与磋商有关的其他响应磋商的供应商的技术资料、价格及其他信息。</w:t>
      </w:r>
    </w:p>
    <w:p>
      <w:pPr>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lang w:eastAsia="zh-CN"/>
        </w:rPr>
        <w:t>3.</w:t>
      </w:r>
      <w:r>
        <w:rPr>
          <w:rFonts w:hint="eastAsia" w:ascii="宋体" w:hAnsi="宋体" w:cs="宋体"/>
          <w:color w:val="auto"/>
          <w:sz w:val="24"/>
          <w:szCs w:val="24"/>
          <w:highlight w:val="none"/>
        </w:rPr>
        <w:t>凡两家或以上公司同一法人代表或其中一家公司为另一家公司单一最大股东的，不能同时参与同一采购项目相同标段的磋商采购活动，一经发现，将视同串标处理。</w:t>
      </w:r>
    </w:p>
    <w:p>
      <w:pPr>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lang w:eastAsia="zh-CN"/>
        </w:rPr>
        <w:t>4.</w:t>
      </w:r>
      <w:r>
        <w:rPr>
          <w:rFonts w:hint="eastAsia" w:ascii="宋体" w:hAnsi="宋体" w:cs="宋体"/>
          <w:color w:val="auto"/>
          <w:sz w:val="24"/>
          <w:szCs w:val="24"/>
          <w:highlight w:val="none"/>
        </w:rPr>
        <w:t>在磋商评审过程中，磋商小组发现供应商的报价明显低于其他供应商的报价，使得其报价可能低于其个别成本的，磋商小组有权要求该供应商作出书面说明并提供相关证明材料，供应商不能合理说明或者不能提供相关证明材料的，由磋商小组认定该供应商以低于成本报价磋商竞标。对被认定为低于成本报价磋商竞标的报价作无效报价，按无效响应处理。</w:t>
      </w:r>
    </w:p>
    <w:p>
      <w:pPr>
        <w:snapToGrid w:val="0"/>
        <w:spacing w:line="480" w:lineRule="exact"/>
        <w:ind w:firstLine="482" w:firstLineChars="200"/>
        <w:rPr>
          <w:rFonts w:ascii="宋体" w:cs="宋体"/>
          <w:b/>
          <w:bCs/>
          <w:color w:val="auto"/>
          <w:sz w:val="24"/>
          <w:szCs w:val="24"/>
          <w:highlight w:val="none"/>
        </w:rPr>
      </w:pPr>
      <w:r>
        <w:rPr>
          <w:rFonts w:hint="eastAsia" w:ascii="宋体" w:hAnsi="宋体" w:cs="宋体"/>
          <w:b/>
          <w:bCs/>
          <w:color w:val="auto"/>
          <w:sz w:val="24"/>
          <w:szCs w:val="24"/>
          <w:highlight w:val="none"/>
        </w:rPr>
        <w:t>三、评审步骤</w:t>
      </w:r>
    </w:p>
    <w:p>
      <w:pPr>
        <w:snapToGrid w:val="0"/>
        <w:spacing w:line="480" w:lineRule="exact"/>
        <w:ind w:firstLine="482" w:firstLineChars="200"/>
        <w:rPr>
          <w:rFonts w:ascii="宋体" w:cs="宋体"/>
          <w:b/>
          <w:bCs/>
          <w:color w:val="auto"/>
          <w:sz w:val="24"/>
          <w:szCs w:val="24"/>
          <w:highlight w:val="none"/>
          <w:lang w:val="zh-CN"/>
        </w:rPr>
      </w:pPr>
      <w:r>
        <w:rPr>
          <w:rFonts w:hint="eastAsia" w:ascii="宋体" w:hAnsi="宋体" w:cs="宋体"/>
          <w:b/>
          <w:bCs/>
          <w:color w:val="auto"/>
          <w:sz w:val="24"/>
          <w:szCs w:val="24"/>
          <w:highlight w:val="none"/>
          <w:lang w:val="zh-CN"/>
        </w:rPr>
        <w:t>1.评审步骤规定：</w:t>
      </w:r>
    </w:p>
    <w:p>
      <w:pPr>
        <w:snapToGrid w:val="0"/>
        <w:spacing w:line="480" w:lineRule="exact"/>
        <w:ind w:firstLine="482" w:firstLineChars="200"/>
        <w:rPr>
          <w:rFonts w:ascii="宋体" w:cs="宋体"/>
          <w:b/>
          <w:bCs/>
          <w:color w:val="auto"/>
          <w:sz w:val="24"/>
          <w:szCs w:val="24"/>
          <w:highlight w:val="none"/>
          <w:lang w:val="zh-CN"/>
        </w:rPr>
      </w:pPr>
      <w:r>
        <w:rPr>
          <w:rFonts w:hint="eastAsia" w:ascii="宋体" w:hAnsi="宋体" w:cs="宋体"/>
          <w:b/>
          <w:bCs/>
          <w:color w:val="auto"/>
          <w:sz w:val="24"/>
          <w:szCs w:val="24"/>
          <w:highlight w:val="none"/>
          <w:lang w:val="zh-CN"/>
        </w:rPr>
        <w:t>本次资格审查采用资格后审，各投标供应商资格审查通过后方能进入技术标的开标。先开技术标，技术标打分结束后再开商务标。</w:t>
      </w:r>
    </w:p>
    <w:p>
      <w:pPr>
        <w:snapToGrid w:val="0"/>
        <w:spacing w:line="480" w:lineRule="exact"/>
        <w:ind w:firstLine="480" w:firstLineChars="200"/>
        <w:rPr>
          <w:rFonts w:ascii="宋体" w:cs="宋体"/>
          <w:color w:val="auto"/>
          <w:sz w:val="24"/>
          <w:szCs w:val="24"/>
          <w:highlight w:val="none"/>
          <w:lang w:val="zh-CN"/>
        </w:rPr>
      </w:pPr>
      <w:r>
        <w:rPr>
          <w:rFonts w:hint="eastAsia" w:ascii="宋体" w:hAnsi="宋体" w:cs="宋体"/>
          <w:color w:val="auto"/>
          <w:sz w:val="24"/>
          <w:szCs w:val="24"/>
          <w:highlight w:val="none"/>
        </w:rPr>
        <w:t>资格符合性评审</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技术响应文件评审</w:t>
      </w:r>
      <w:r>
        <w:rPr>
          <w:rFonts w:ascii="宋体" w:hAnsi="宋体" w:cs="宋体"/>
          <w:color w:val="auto"/>
          <w:sz w:val="24"/>
          <w:szCs w:val="24"/>
          <w:highlight w:val="none"/>
        </w:rPr>
        <w:t>——</w:t>
      </w:r>
      <w:r>
        <w:rPr>
          <w:rFonts w:hint="eastAsia" w:ascii="宋体" w:hAnsi="宋体" w:cs="宋体"/>
          <w:color w:val="auto"/>
          <w:sz w:val="24"/>
          <w:szCs w:val="24"/>
          <w:highlight w:val="none"/>
        </w:rPr>
        <w:t>商务报价响应文件评审</w:t>
      </w:r>
      <w:r>
        <w:rPr>
          <w:rFonts w:ascii="宋体" w:hAnsi="宋体" w:cs="宋体"/>
          <w:color w:val="auto"/>
          <w:sz w:val="24"/>
          <w:szCs w:val="24"/>
          <w:highlight w:val="none"/>
        </w:rPr>
        <w:t>——</w:t>
      </w:r>
      <w:r>
        <w:rPr>
          <w:rFonts w:hint="eastAsia" w:ascii="宋体" w:hAnsi="宋体" w:cs="宋体"/>
          <w:color w:val="auto"/>
          <w:sz w:val="24"/>
          <w:szCs w:val="24"/>
          <w:highlight w:val="none"/>
        </w:rPr>
        <w:t>确定成交供应商</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val="zh-CN"/>
        </w:rPr>
        <w:t>2.在</w:t>
      </w:r>
      <w:r>
        <w:rPr>
          <w:rFonts w:hint="eastAsia" w:ascii="宋体" w:hAnsi="宋体" w:cs="宋体"/>
          <w:color w:val="auto"/>
          <w:sz w:val="24"/>
          <w:szCs w:val="24"/>
          <w:highlight w:val="none"/>
        </w:rPr>
        <w:t>磋商</w:t>
      </w:r>
      <w:r>
        <w:rPr>
          <w:rFonts w:hint="eastAsia" w:ascii="宋体" w:hAnsi="宋体" w:cs="宋体"/>
          <w:color w:val="auto"/>
          <w:sz w:val="24"/>
          <w:szCs w:val="24"/>
          <w:highlight w:val="none"/>
          <w:lang w:val="zh-CN"/>
        </w:rPr>
        <w:t>过程中，供应商提交的澄清文件和最终报价文件，由供应商法定代表人或被授权人签字盖章后生效，供应商受其约束。</w:t>
      </w:r>
    </w:p>
    <w:p>
      <w:pPr>
        <w:snapToGrid w:val="0"/>
        <w:spacing w:line="480" w:lineRule="exact"/>
        <w:ind w:firstLine="482" w:firstLineChars="200"/>
        <w:outlineLvl w:val="1"/>
        <w:rPr>
          <w:rFonts w:ascii="宋体" w:cs="宋体"/>
          <w:b/>
          <w:color w:val="auto"/>
          <w:sz w:val="24"/>
          <w:szCs w:val="24"/>
          <w:highlight w:val="none"/>
        </w:rPr>
      </w:pPr>
      <w:r>
        <w:rPr>
          <w:rFonts w:hint="eastAsia" w:ascii="宋体" w:hAnsi="宋体" w:cs="宋体"/>
          <w:b/>
          <w:color w:val="auto"/>
          <w:sz w:val="24"/>
          <w:szCs w:val="24"/>
          <w:highlight w:val="none"/>
        </w:rPr>
        <w:t>四、磋商评定结果的方法</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评审时，磋商小组各成员应当独立对每个有效响应的文件进行评价、打分，然后汇总每个供应商每项评分因素的得分（计算结果均四舍五入保留两位小数）。</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本次项目磋商的技术</w:t>
      </w:r>
      <w:r>
        <w:rPr>
          <w:rFonts w:hint="eastAsia" w:ascii="宋体" w:hAnsi="宋体" w:cs="宋体"/>
          <w:color w:val="auto"/>
          <w:kern w:val="0"/>
          <w:sz w:val="24"/>
          <w:szCs w:val="24"/>
          <w:highlight w:val="none"/>
        </w:rPr>
        <w:t>响应文件</w:t>
      </w:r>
      <w:r>
        <w:rPr>
          <w:rFonts w:hint="eastAsia" w:ascii="宋体" w:hAnsi="宋体" w:cs="宋体"/>
          <w:color w:val="auto"/>
          <w:sz w:val="24"/>
          <w:szCs w:val="24"/>
          <w:highlight w:val="none"/>
        </w:rPr>
        <w:t>和商务报价</w:t>
      </w:r>
      <w:r>
        <w:rPr>
          <w:rFonts w:hint="eastAsia" w:ascii="宋体" w:hAnsi="宋体" w:cs="宋体"/>
          <w:color w:val="auto"/>
          <w:kern w:val="0"/>
          <w:sz w:val="24"/>
          <w:szCs w:val="24"/>
          <w:highlight w:val="none"/>
        </w:rPr>
        <w:t>响应文件</w:t>
      </w:r>
      <w:r>
        <w:rPr>
          <w:rFonts w:hint="eastAsia" w:ascii="宋体" w:hAnsi="宋体" w:cs="宋体"/>
          <w:color w:val="auto"/>
          <w:sz w:val="24"/>
          <w:szCs w:val="24"/>
          <w:highlight w:val="none"/>
        </w:rPr>
        <w:t>评审总分值为</w:t>
      </w:r>
      <w:r>
        <w:rPr>
          <w:rFonts w:ascii="宋体" w:hAnsi="宋体" w:cs="宋体"/>
          <w:color w:val="auto"/>
          <w:sz w:val="24"/>
          <w:szCs w:val="24"/>
          <w:highlight w:val="none"/>
        </w:rPr>
        <w:t>100</w:t>
      </w:r>
      <w:r>
        <w:rPr>
          <w:rFonts w:hint="eastAsia" w:ascii="宋体" w:hAnsi="宋体" w:cs="宋体"/>
          <w:color w:val="auto"/>
          <w:sz w:val="24"/>
          <w:szCs w:val="24"/>
          <w:highlight w:val="none"/>
        </w:rPr>
        <w:t>分。两部分评审因素比重如下：</w:t>
      </w:r>
      <w:r>
        <w:rPr>
          <w:rFonts w:ascii="宋体" w:hAnsi="宋体" w:cs="宋体"/>
          <w:color w:val="auto"/>
          <w:sz w:val="24"/>
          <w:szCs w:val="24"/>
          <w:highlight w:val="none"/>
        </w:rPr>
        <w:t xml:space="preserve"> </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技术</w:t>
      </w:r>
      <w:r>
        <w:rPr>
          <w:rFonts w:hint="eastAsia" w:ascii="宋体" w:hAnsi="宋体" w:cs="宋体"/>
          <w:color w:val="auto"/>
          <w:kern w:val="0"/>
          <w:sz w:val="24"/>
          <w:szCs w:val="24"/>
          <w:highlight w:val="none"/>
        </w:rPr>
        <w:t>响应文件</w:t>
      </w:r>
      <w:r>
        <w:rPr>
          <w:rFonts w:hint="eastAsia" w:ascii="宋体" w:hAnsi="宋体" w:cs="宋体"/>
          <w:color w:val="auto"/>
          <w:sz w:val="24"/>
          <w:szCs w:val="24"/>
          <w:highlight w:val="none"/>
        </w:rPr>
        <w:t>分值占总分值的比重为</w:t>
      </w:r>
      <w:r>
        <w:rPr>
          <w:rFonts w:ascii="宋体" w:hAnsi="宋体" w:cs="宋体"/>
          <w:b/>
          <w:color w:val="auto"/>
          <w:sz w:val="24"/>
          <w:szCs w:val="24"/>
          <w:highlight w:val="none"/>
          <w:u w:val="single"/>
        </w:rPr>
        <w:t xml:space="preserve"> </w:t>
      </w:r>
      <w:r>
        <w:rPr>
          <w:rFonts w:hint="eastAsia" w:ascii="宋体" w:hAnsi="宋体" w:cs="宋体"/>
          <w:b/>
          <w:color w:val="auto"/>
          <w:sz w:val="24"/>
          <w:szCs w:val="24"/>
          <w:highlight w:val="none"/>
          <w:u w:val="single"/>
          <w:lang w:val="en-US" w:eastAsia="zh-CN"/>
        </w:rPr>
        <w:t>85</w:t>
      </w:r>
      <w:r>
        <w:rPr>
          <w:rFonts w:ascii="宋体" w:hAnsi="宋体" w:cs="宋体"/>
          <w:b/>
          <w:color w:val="auto"/>
          <w:sz w:val="24"/>
          <w:szCs w:val="24"/>
          <w:highlight w:val="none"/>
          <w:u w:val="single"/>
        </w:rPr>
        <w:t>%</w:t>
      </w:r>
      <w:r>
        <w:rPr>
          <w:rFonts w:hint="eastAsia" w:ascii="宋体" w:hAnsi="宋体" w:cs="宋体"/>
          <w:b/>
          <w:color w:val="auto"/>
          <w:sz w:val="24"/>
          <w:szCs w:val="24"/>
          <w:highlight w:val="none"/>
          <w:u w:val="single"/>
        </w:rPr>
        <w:t>（权重）</w:t>
      </w:r>
      <w:r>
        <w:rPr>
          <w:rFonts w:hint="eastAsia" w:ascii="宋体" w:hAnsi="宋体" w:cs="宋体"/>
          <w:color w:val="auto"/>
          <w:sz w:val="24"/>
          <w:szCs w:val="24"/>
          <w:highlight w:val="none"/>
        </w:rPr>
        <w:t>（四舍五入保留两位小数）；</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商务报价</w:t>
      </w:r>
      <w:r>
        <w:rPr>
          <w:rFonts w:hint="eastAsia" w:ascii="宋体" w:hAnsi="宋体" w:cs="宋体"/>
          <w:color w:val="auto"/>
          <w:kern w:val="0"/>
          <w:sz w:val="24"/>
          <w:szCs w:val="24"/>
          <w:highlight w:val="none"/>
        </w:rPr>
        <w:t>响应文件</w:t>
      </w:r>
      <w:r>
        <w:rPr>
          <w:rFonts w:hint="eastAsia" w:ascii="宋体" w:hAnsi="宋体" w:cs="宋体"/>
          <w:color w:val="auto"/>
          <w:sz w:val="24"/>
          <w:szCs w:val="24"/>
          <w:highlight w:val="none"/>
        </w:rPr>
        <w:t>分值占总分值的比重为</w:t>
      </w:r>
      <w:r>
        <w:rPr>
          <w:rFonts w:ascii="宋体" w:hAnsi="宋体" w:cs="宋体"/>
          <w:b/>
          <w:color w:val="auto"/>
          <w:sz w:val="24"/>
          <w:szCs w:val="24"/>
          <w:highlight w:val="none"/>
          <w:u w:val="single"/>
        </w:rPr>
        <w:t xml:space="preserve"> </w:t>
      </w:r>
      <w:r>
        <w:rPr>
          <w:rFonts w:hint="eastAsia" w:ascii="宋体" w:hAnsi="宋体" w:cs="宋体"/>
          <w:b/>
          <w:color w:val="auto"/>
          <w:sz w:val="24"/>
          <w:szCs w:val="24"/>
          <w:highlight w:val="none"/>
          <w:u w:val="single"/>
          <w:lang w:val="en-US" w:eastAsia="zh-CN"/>
        </w:rPr>
        <w:t>15</w:t>
      </w:r>
      <w:r>
        <w:rPr>
          <w:rFonts w:ascii="宋体" w:hAnsi="宋体" w:cs="宋体"/>
          <w:b/>
          <w:color w:val="auto"/>
          <w:sz w:val="24"/>
          <w:szCs w:val="24"/>
          <w:highlight w:val="none"/>
          <w:u w:val="single"/>
        </w:rPr>
        <w:t>%</w:t>
      </w:r>
      <w:r>
        <w:rPr>
          <w:rFonts w:hint="eastAsia" w:ascii="宋体" w:hAnsi="宋体" w:cs="宋体"/>
          <w:b/>
          <w:color w:val="auto"/>
          <w:sz w:val="24"/>
          <w:szCs w:val="24"/>
          <w:highlight w:val="none"/>
          <w:u w:val="single"/>
        </w:rPr>
        <w:t>（权重）</w:t>
      </w:r>
      <w:r>
        <w:rPr>
          <w:rFonts w:ascii="宋体" w:hAnsi="宋体" w:cs="宋体"/>
          <w:b/>
          <w:color w:val="auto"/>
          <w:sz w:val="24"/>
          <w:szCs w:val="24"/>
          <w:highlight w:val="none"/>
          <w:u w:val="single"/>
        </w:rPr>
        <w:t xml:space="preserve"> </w:t>
      </w:r>
      <w:r>
        <w:rPr>
          <w:rFonts w:hint="eastAsia" w:ascii="宋体" w:hAnsi="宋体" w:cs="宋体"/>
          <w:color w:val="auto"/>
          <w:sz w:val="24"/>
          <w:szCs w:val="24"/>
          <w:highlight w:val="none"/>
        </w:rPr>
        <w:t>（四舍五入保留两位小数）。</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技术</w:t>
      </w:r>
      <w:r>
        <w:rPr>
          <w:rFonts w:hint="eastAsia" w:ascii="宋体" w:hAnsi="宋体" w:cs="宋体"/>
          <w:color w:val="auto"/>
          <w:kern w:val="0"/>
          <w:sz w:val="24"/>
          <w:szCs w:val="24"/>
          <w:highlight w:val="none"/>
        </w:rPr>
        <w:t>响应文件分值为所有评委打分的算术平均值，计算</w:t>
      </w:r>
      <w:r>
        <w:rPr>
          <w:rFonts w:hint="eastAsia" w:ascii="宋体" w:hAnsi="宋体" w:cs="宋体"/>
          <w:color w:val="auto"/>
          <w:sz w:val="24"/>
          <w:szCs w:val="24"/>
          <w:highlight w:val="none"/>
        </w:rPr>
        <w:t>结果均四舍五入保留两位小数。</w:t>
      </w:r>
      <w:r>
        <w:rPr>
          <w:rFonts w:ascii="宋体" w:hAnsi="宋体" w:cs="宋体"/>
          <w:color w:val="auto"/>
          <w:sz w:val="24"/>
          <w:szCs w:val="24"/>
          <w:highlight w:val="none"/>
        </w:rPr>
        <w:t xml:space="preserve"> </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商务报价</w:t>
      </w:r>
      <w:r>
        <w:rPr>
          <w:rFonts w:hint="eastAsia" w:ascii="宋体" w:hAnsi="宋体" w:cs="宋体"/>
          <w:color w:val="auto"/>
          <w:kern w:val="0"/>
          <w:sz w:val="24"/>
          <w:szCs w:val="24"/>
          <w:highlight w:val="none"/>
        </w:rPr>
        <w:t>响应文件</w:t>
      </w:r>
      <w:r>
        <w:rPr>
          <w:rFonts w:hint="eastAsia" w:ascii="宋体" w:hAnsi="宋体" w:cs="宋体"/>
          <w:color w:val="auto"/>
          <w:sz w:val="24"/>
          <w:szCs w:val="24"/>
          <w:highlight w:val="none"/>
        </w:rPr>
        <w:t>分值统一采用低价优先法计算直接取得，与技术</w:t>
      </w:r>
      <w:r>
        <w:rPr>
          <w:rFonts w:hint="eastAsia" w:ascii="宋体" w:hAnsi="宋体" w:cs="宋体"/>
          <w:color w:val="auto"/>
          <w:kern w:val="0"/>
          <w:sz w:val="24"/>
          <w:szCs w:val="24"/>
          <w:highlight w:val="none"/>
        </w:rPr>
        <w:t>响应文件</w:t>
      </w:r>
      <w:r>
        <w:rPr>
          <w:rFonts w:hint="eastAsia" w:ascii="宋体" w:hAnsi="宋体" w:cs="宋体"/>
          <w:color w:val="auto"/>
          <w:sz w:val="24"/>
          <w:szCs w:val="24"/>
          <w:highlight w:val="none"/>
        </w:rPr>
        <w:t>分值相加为供应商的综合得分（四舍五入保留两位小数）。</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综合得分最高的供应商推荐为项目预成交供应商并出具评审磋商报告。</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val="en-US" w:eastAsia="zh-CN"/>
        </w:rPr>
        <w:t>6.</w:t>
      </w:r>
      <w:r>
        <w:rPr>
          <w:rFonts w:hint="eastAsia" w:ascii="宋体" w:hAnsi="宋体" w:cs="宋体"/>
          <w:color w:val="auto"/>
          <w:sz w:val="24"/>
          <w:szCs w:val="24"/>
          <w:highlight w:val="none"/>
        </w:rPr>
        <w:t>确定成交候选人的特殊情况处理：</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1</w:t>
      </w:r>
      <w:r>
        <w:rPr>
          <w:rFonts w:hint="eastAsia" w:ascii="宋体" w:hAnsi="宋体" w:cs="宋体"/>
          <w:color w:val="auto"/>
          <w:sz w:val="24"/>
          <w:szCs w:val="24"/>
          <w:highlight w:val="none"/>
        </w:rPr>
        <w:t>）若总分相同，则按最终报价得分高者优先中标。</w:t>
      </w:r>
    </w:p>
    <w:p>
      <w:pPr>
        <w:snapToGrid w:val="0"/>
        <w:spacing w:line="480" w:lineRule="exact"/>
        <w:ind w:firstLine="480" w:firstLineChars="200"/>
        <w:outlineLvl w:val="1"/>
        <w:rPr>
          <w:rFonts w:ascii="宋体" w:cs="宋体"/>
          <w:dstrike/>
          <w:color w:val="auto"/>
          <w:sz w:val="24"/>
          <w:szCs w:val="24"/>
          <w:highlight w:val="none"/>
        </w:rPr>
      </w:pPr>
      <w:r>
        <w:rPr>
          <w:rFonts w:hint="eastAsia" w:ascii="宋体" w:hAnsi="宋体" w:cs="宋体"/>
          <w:color w:val="auto"/>
          <w:sz w:val="24"/>
          <w:szCs w:val="24"/>
          <w:highlight w:val="none"/>
        </w:rPr>
        <w:t>（</w:t>
      </w:r>
      <w:r>
        <w:rPr>
          <w:rFonts w:ascii="宋体" w:hAnsi="宋体" w:cs="宋体"/>
          <w:color w:val="auto"/>
          <w:sz w:val="24"/>
          <w:szCs w:val="24"/>
          <w:highlight w:val="none"/>
        </w:rPr>
        <w:t>2</w:t>
      </w:r>
      <w:r>
        <w:rPr>
          <w:rFonts w:hint="eastAsia" w:ascii="宋体" w:hAnsi="宋体" w:cs="宋体"/>
          <w:color w:val="auto"/>
          <w:sz w:val="24"/>
          <w:szCs w:val="24"/>
          <w:highlight w:val="none"/>
        </w:rPr>
        <w:t>）若总分且最终报价得分相同，则采取现场抽签的方式确定（由投标供应商按递交响应文件签到顺序号抽签确定）。</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rPr>
        <w:t>磋商评审时，评委对评审的细则若有争议，由磋商小组集体讨论确定，并对未尽情况有最终解释权。</w:t>
      </w:r>
    </w:p>
    <w:p>
      <w:pPr>
        <w:snapToGrid w:val="0"/>
        <w:spacing w:line="480" w:lineRule="exact"/>
        <w:ind w:firstLine="480" w:firstLineChars="200"/>
        <w:rPr>
          <w:rFonts w:ascii="宋体" w:cs="宋体"/>
          <w:bCs/>
          <w:color w:val="auto"/>
          <w:sz w:val="24"/>
          <w:szCs w:val="24"/>
          <w:highlight w:val="none"/>
        </w:rPr>
      </w:pPr>
      <w:r>
        <w:rPr>
          <w:rFonts w:hint="eastAsia" w:ascii="宋体" w:hAnsi="宋体" w:cs="宋体"/>
          <w:bCs/>
          <w:color w:val="auto"/>
          <w:sz w:val="24"/>
          <w:szCs w:val="24"/>
          <w:highlight w:val="none"/>
          <w:lang w:val="en-US" w:eastAsia="zh-CN"/>
        </w:rPr>
        <w:t>8.</w:t>
      </w:r>
      <w:r>
        <w:rPr>
          <w:rFonts w:hint="eastAsia" w:ascii="宋体" w:hAnsi="宋体" w:cs="宋体"/>
          <w:bCs/>
          <w:color w:val="auto"/>
          <w:sz w:val="24"/>
          <w:szCs w:val="24"/>
          <w:highlight w:val="none"/>
        </w:rPr>
        <w:t>对落标的供应商不做落标原因的解释。</w:t>
      </w:r>
    </w:p>
    <w:p>
      <w:pPr>
        <w:snapToGrid w:val="0"/>
        <w:spacing w:line="480" w:lineRule="exact"/>
        <w:ind w:firstLine="482" w:firstLineChars="200"/>
        <w:outlineLvl w:val="1"/>
        <w:rPr>
          <w:rFonts w:ascii="宋体"/>
          <w:b/>
          <w:bCs/>
          <w:color w:val="auto"/>
          <w:sz w:val="24"/>
          <w:szCs w:val="24"/>
          <w:highlight w:val="none"/>
        </w:rPr>
      </w:pPr>
      <w:r>
        <w:rPr>
          <w:rFonts w:hint="eastAsia" w:ascii="宋体" w:hAnsi="宋体" w:cs="宋体"/>
          <w:b/>
          <w:color w:val="auto"/>
          <w:sz w:val="24"/>
          <w:szCs w:val="24"/>
          <w:highlight w:val="none"/>
        </w:rPr>
        <w:t>五、综合评分评审标准</w:t>
      </w:r>
    </w:p>
    <w:p>
      <w:pPr>
        <w:snapToGrid w:val="0"/>
        <w:spacing w:line="480" w:lineRule="exact"/>
        <w:ind w:firstLine="241" w:firstLineChars="100"/>
        <w:outlineLvl w:val="1"/>
        <w:rPr>
          <w:rFonts w:ascii="宋体" w:hAnsi="宋体" w:cs="宋体"/>
          <w:b/>
          <w:bCs/>
          <w:color w:val="auto"/>
          <w:sz w:val="24"/>
          <w:szCs w:val="24"/>
          <w:highlight w:val="none"/>
        </w:rPr>
      </w:pPr>
      <w:r>
        <w:rPr>
          <w:rFonts w:hint="eastAsia" w:ascii="宋体" w:hAnsi="宋体" w:cs="宋体"/>
          <w:b/>
          <w:bCs/>
          <w:color w:val="auto"/>
          <w:sz w:val="24"/>
          <w:szCs w:val="24"/>
          <w:highlight w:val="none"/>
        </w:rPr>
        <w:br w:type="page"/>
      </w:r>
      <w:r>
        <w:rPr>
          <w:rFonts w:hint="eastAsia" w:ascii="宋体" w:hAnsi="宋体" w:cs="宋体"/>
          <w:b/>
          <w:bCs/>
          <w:color w:val="auto"/>
          <w:sz w:val="24"/>
          <w:szCs w:val="24"/>
          <w:highlight w:val="none"/>
        </w:rPr>
        <w:t>（一）技术标评分：（</w:t>
      </w:r>
      <w:r>
        <w:rPr>
          <w:rFonts w:hint="eastAsia" w:ascii="宋体" w:hAnsi="宋体" w:cs="宋体"/>
          <w:b/>
          <w:bCs/>
          <w:color w:val="auto"/>
          <w:sz w:val="24"/>
          <w:szCs w:val="24"/>
          <w:highlight w:val="none"/>
          <w:lang w:val="en-US" w:eastAsia="zh-CN"/>
        </w:rPr>
        <w:t>85</w:t>
      </w:r>
      <w:r>
        <w:rPr>
          <w:rFonts w:hint="eastAsia" w:ascii="宋体" w:hAnsi="宋体" w:cs="宋体"/>
          <w:b/>
          <w:bCs/>
          <w:color w:val="auto"/>
          <w:sz w:val="24"/>
          <w:szCs w:val="24"/>
          <w:highlight w:val="none"/>
        </w:rPr>
        <w:t>分）</w:t>
      </w:r>
    </w:p>
    <w:tbl>
      <w:tblPr>
        <w:tblStyle w:val="52"/>
        <w:tblW w:w="869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8"/>
        <w:gridCol w:w="70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1618" w:type="dxa"/>
            <w:noWrap w:val="0"/>
            <w:vAlign w:val="center"/>
          </w:tcPr>
          <w:p>
            <w:pPr>
              <w:widowControl/>
              <w:spacing w:line="0" w:lineRule="atLeast"/>
              <w:jc w:val="center"/>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lang w:val="zh-CN"/>
              </w:rPr>
              <w:t>项目</w:t>
            </w:r>
          </w:p>
        </w:tc>
        <w:tc>
          <w:tcPr>
            <w:tcW w:w="7074" w:type="dxa"/>
            <w:noWrap w:val="0"/>
            <w:vAlign w:val="center"/>
          </w:tcPr>
          <w:p>
            <w:pPr>
              <w:widowControl/>
              <w:spacing w:line="0" w:lineRule="atLeast"/>
              <w:jc w:val="center"/>
              <w:rPr>
                <w:rFonts w:hint="eastAsia" w:ascii="仿宋" w:hAnsi="仿宋" w:eastAsia="仿宋" w:cs="仿宋"/>
                <w:color w:val="000000"/>
                <w:sz w:val="24"/>
                <w:highlight w:val="none"/>
                <w:lang w:val="zh-CN"/>
              </w:rPr>
            </w:pPr>
            <w:r>
              <w:rPr>
                <w:rFonts w:hint="eastAsia" w:ascii="仿宋" w:hAnsi="仿宋" w:eastAsia="仿宋" w:cs="仿宋"/>
                <w:color w:val="000000"/>
                <w:sz w:val="24"/>
                <w:highlight w:val="none"/>
                <w:lang w:val="zh-CN"/>
              </w:rPr>
              <w:t>评分依据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618" w:type="dxa"/>
            <w:noWrap w:val="0"/>
            <w:vAlign w:val="center"/>
          </w:tcPr>
          <w:p>
            <w:pPr>
              <w:spacing w:line="360" w:lineRule="auto"/>
              <w:jc w:val="center"/>
              <w:rPr>
                <w:rFonts w:hint="eastAsia" w:ascii="仿宋" w:hAnsi="仿宋" w:eastAsia="仿宋_GB2312" w:cs="Times New Roman"/>
                <w:i/>
                <w:color w:val="FF0000"/>
                <w:kern w:val="2"/>
                <w:sz w:val="24"/>
                <w:szCs w:val="24"/>
                <w:lang w:val="zh-CN" w:eastAsia="zh-CN" w:bidi="ar-SA"/>
              </w:rPr>
            </w:pPr>
            <w:r>
              <w:rPr>
                <w:rFonts w:hint="eastAsia" w:ascii="仿宋_GB2312" w:hAnsi="宋体" w:eastAsia="仿宋_GB2312"/>
                <w:sz w:val="24"/>
              </w:rPr>
              <w:t>投标人资质</w:t>
            </w:r>
            <w:r>
              <w:rPr>
                <w:rFonts w:hint="eastAsia" w:ascii="仿宋_GB2312" w:hAnsi="宋体" w:eastAsia="仿宋_GB2312"/>
                <w:sz w:val="24"/>
                <w:lang w:eastAsia="zh-CN"/>
              </w:rPr>
              <w:t>（</w:t>
            </w:r>
            <w:r>
              <w:rPr>
                <w:rFonts w:hint="eastAsia" w:ascii="仿宋_GB2312" w:hAnsi="宋体" w:eastAsia="仿宋_GB2312"/>
                <w:sz w:val="24"/>
                <w:lang w:val="en-US" w:eastAsia="zh-CN"/>
              </w:rPr>
              <w:t>5分</w:t>
            </w:r>
            <w:r>
              <w:rPr>
                <w:rFonts w:hint="eastAsia" w:ascii="仿宋_GB2312" w:hAnsi="宋体" w:eastAsia="仿宋_GB2312"/>
                <w:sz w:val="24"/>
                <w:lang w:eastAsia="zh-CN"/>
              </w:rPr>
              <w:t>）</w:t>
            </w:r>
          </w:p>
        </w:tc>
        <w:tc>
          <w:tcPr>
            <w:tcW w:w="7074" w:type="dxa"/>
            <w:noWrap w:val="0"/>
            <w:vAlign w:val="center"/>
          </w:tcPr>
          <w:p>
            <w:pPr>
              <w:spacing w:line="360" w:lineRule="auto"/>
              <w:rPr>
                <w:rFonts w:hint="eastAsia" w:ascii="仿宋" w:hAnsi="仿宋" w:eastAsia="仿宋" w:cs="Times New Roman"/>
                <w:i/>
                <w:color w:val="FF0000"/>
                <w:kern w:val="2"/>
                <w:sz w:val="24"/>
                <w:szCs w:val="24"/>
                <w:lang w:val="zh-CN" w:eastAsia="zh-CN" w:bidi="ar-SA"/>
              </w:rPr>
            </w:pPr>
            <w:r>
              <w:rPr>
                <w:rFonts w:hint="eastAsia" w:ascii="仿宋_GB2312" w:hAnsi="宋体" w:eastAsia="仿宋_GB2312"/>
                <w:sz w:val="24"/>
              </w:rPr>
              <w:t xml:space="preserve">投标人具有类似或相关系统计算机软件著作权登记证书，每提供1个得 </w:t>
            </w:r>
            <w:r>
              <w:rPr>
                <w:rFonts w:hint="eastAsia" w:ascii="仿宋_GB2312" w:hAnsi="宋体" w:eastAsia="仿宋_GB2312"/>
                <w:sz w:val="24"/>
                <w:lang w:val="en-US" w:eastAsia="zh-CN"/>
              </w:rPr>
              <w:t>2.5</w:t>
            </w:r>
            <w:r>
              <w:rPr>
                <w:rFonts w:hint="eastAsia" w:ascii="仿宋_GB2312" w:hAnsi="宋体" w:eastAsia="仿宋_GB2312"/>
                <w:sz w:val="24"/>
              </w:rPr>
              <w:t>分，满分</w:t>
            </w:r>
            <w:r>
              <w:rPr>
                <w:rFonts w:hint="eastAsia" w:ascii="仿宋_GB2312" w:hAnsi="宋体" w:eastAsia="仿宋_GB2312"/>
                <w:sz w:val="24"/>
                <w:lang w:val="en-US" w:eastAsia="zh-CN"/>
              </w:rPr>
              <w:t>5</w:t>
            </w:r>
            <w:r>
              <w:rPr>
                <w:rFonts w:hint="eastAsia" w:ascii="仿宋_GB2312" w:hAnsi="宋体" w:eastAsia="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618" w:type="dxa"/>
            <w:noWrap w:val="0"/>
            <w:vAlign w:val="center"/>
          </w:tcPr>
          <w:p>
            <w:pPr>
              <w:spacing w:line="360" w:lineRule="auto"/>
              <w:jc w:val="center"/>
              <w:rPr>
                <w:rFonts w:hint="eastAsia" w:ascii="仿宋" w:hAnsi="仿宋" w:eastAsia="仿宋_GB2312" w:cs="Times New Roman"/>
                <w:i/>
                <w:color w:val="FF0000"/>
                <w:kern w:val="2"/>
                <w:sz w:val="24"/>
                <w:szCs w:val="24"/>
                <w:lang w:val="en-US" w:eastAsia="zh-CN" w:bidi="ar-SA"/>
              </w:rPr>
            </w:pPr>
            <w:r>
              <w:rPr>
                <w:rFonts w:hint="eastAsia" w:ascii="仿宋_GB2312" w:hAnsi="宋体" w:eastAsia="仿宋_GB2312"/>
                <w:sz w:val="24"/>
              </w:rPr>
              <w:t>项目经理资质</w:t>
            </w:r>
            <w:r>
              <w:rPr>
                <w:rFonts w:hint="eastAsia" w:ascii="仿宋_GB2312" w:hAnsi="宋体" w:eastAsia="仿宋_GB2312"/>
                <w:sz w:val="24"/>
                <w:lang w:eastAsia="zh-CN"/>
              </w:rPr>
              <w:t>（</w:t>
            </w:r>
            <w:r>
              <w:rPr>
                <w:rFonts w:hint="eastAsia" w:ascii="仿宋_GB2312" w:hAnsi="宋体" w:eastAsia="仿宋_GB2312"/>
                <w:sz w:val="24"/>
                <w:lang w:val="en-US" w:eastAsia="zh-CN"/>
              </w:rPr>
              <w:t>5分</w:t>
            </w:r>
            <w:r>
              <w:rPr>
                <w:rFonts w:hint="eastAsia" w:ascii="仿宋_GB2312" w:hAnsi="宋体" w:eastAsia="仿宋_GB2312"/>
                <w:sz w:val="24"/>
                <w:lang w:eastAsia="zh-CN"/>
              </w:rPr>
              <w:t>）</w:t>
            </w:r>
          </w:p>
        </w:tc>
        <w:tc>
          <w:tcPr>
            <w:tcW w:w="7074" w:type="dxa"/>
            <w:noWrap w:val="0"/>
            <w:vAlign w:val="center"/>
          </w:tcPr>
          <w:p>
            <w:pPr>
              <w:spacing w:line="360" w:lineRule="auto"/>
              <w:rPr>
                <w:rFonts w:hint="eastAsia" w:ascii="仿宋" w:hAnsi="仿宋" w:eastAsia="仿宋" w:cs="Times New Roman"/>
                <w:i/>
                <w:color w:val="FF0000"/>
                <w:kern w:val="2"/>
                <w:sz w:val="24"/>
                <w:szCs w:val="24"/>
                <w:lang w:val="zh-CN" w:eastAsia="zh-CN" w:bidi="ar-SA"/>
              </w:rPr>
            </w:pPr>
            <w:r>
              <w:rPr>
                <w:rFonts w:hint="eastAsia" w:ascii="仿宋_GB2312" w:hAnsi="宋体" w:eastAsia="仿宋_GB2312"/>
                <w:sz w:val="24"/>
              </w:rPr>
              <w:t>项目经理具备PMP证书的，提供者得</w:t>
            </w:r>
            <w:r>
              <w:rPr>
                <w:rFonts w:ascii="仿宋_GB2312" w:hAnsi="宋体" w:eastAsia="仿宋_GB2312"/>
                <w:sz w:val="24"/>
              </w:rPr>
              <w:t>5</w:t>
            </w:r>
            <w:r>
              <w:rPr>
                <w:rFonts w:hint="eastAsia" w:ascii="仿宋_GB2312" w:hAnsi="宋体" w:eastAsia="仿宋_GB2312"/>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4" w:hRule="atLeast"/>
        </w:trPr>
        <w:tc>
          <w:tcPr>
            <w:tcW w:w="1618" w:type="dxa"/>
            <w:noWrap w:val="0"/>
            <w:vAlign w:val="center"/>
          </w:tcPr>
          <w:p>
            <w:pPr>
              <w:tabs>
                <w:tab w:val="left" w:pos="3165"/>
              </w:tabs>
              <w:snapToGrid w:val="0"/>
              <w:jc w:val="center"/>
              <w:rPr>
                <w:rFonts w:hint="eastAsia" w:ascii="仿宋_GB2312" w:hAnsi="宋体" w:eastAsia="仿宋_GB2312"/>
                <w:sz w:val="24"/>
              </w:rPr>
            </w:pPr>
            <w:r>
              <w:rPr>
                <w:rFonts w:hint="eastAsia" w:ascii="仿宋_GB2312" w:hAnsi="宋体" w:eastAsia="仿宋_GB2312"/>
                <w:sz w:val="24"/>
              </w:rPr>
              <w:t>业绩</w:t>
            </w:r>
          </w:p>
          <w:p>
            <w:pPr>
              <w:tabs>
                <w:tab w:val="left" w:pos="3165"/>
              </w:tabs>
              <w:snapToGrid w:val="0"/>
              <w:jc w:val="center"/>
              <w:rPr>
                <w:rFonts w:hint="eastAsia" w:ascii="仿宋" w:hAnsi="仿宋" w:eastAsia="仿宋_GB2312" w:cs="Times New Roman"/>
                <w:i/>
                <w:color w:val="FF0000"/>
                <w:kern w:val="2"/>
                <w:sz w:val="24"/>
                <w:szCs w:val="24"/>
                <w:lang w:val="en-US" w:eastAsia="zh-CN" w:bidi="ar-SA"/>
              </w:rPr>
            </w:pPr>
            <w:r>
              <w:rPr>
                <w:rFonts w:hint="eastAsia" w:ascii="仿宋_GB2312" w:hAnsi="宋体" w:eastAsia="仿宋_GB2312"/>
                <w:sz w:val="24"/>
                <w:lang w:eastAsia="zh-CN"/>
              </w:rPr>
              <w:t>（</w:t>
            </w:r>
            <w:r>
              <w:rPr>
                <w:rFonts w:hint="eastAsia" w:ascii="仿宋_GB2312" w:hAnsi="宋体" w:eastAsia="仿宋_GB2312"/>
                <w:sz w:val="24"/>
                <w:lang w:val="en-US" w:eastAsia="zh-CN"/>
              </w:rPr>
              <w:t>15分</w:t>
            </w:r>
            <w:r>
              <w:rPr>
                <w:rFonts w:hint="eastAsia" w:ascii="仿宋_GB2312" w:hAnsi="宋体" w:eastAsia="仿宋_GB2312"/>
                <w:sz w:val="24"/>
                <w:lang w:eastAsia="zh-CN"/>
              </w:rPr>
              <w:t>）</w:t>
            </w:r>
          </w:p>
        </w:tc>
        <w:tc>
          <w:tcPr>
            <w:tcW w:w="7074" w:type="dxa"/>
            <w:noWrap w:val="0"/>
            <w:vAlign w:val="center"/>
          </w:tcPr>
          <w:p>
            <w:pPr>
              <w:spacing w:line="360" w:lineRule="auto"/>
              <w:rPr>
                <w:rFonts w:hint="eastAsia" w:ascii="仿宋" w:hAnsi="仿宋" w:eastAsia="仿宋" w:cs="Times New Roman"/>
                <w:i/>
                <w:color w:val="FF0000"/>
                <w:kern w:val="2"/>
                <w:sz w:val="24"/>
                <w:szCs w:val="24"/>
                <w:lang w:val="en-US" w:eastAsia="zh-CN" w:bidi="ar-SA"/>
              </w:rPr>
            </w:pPr>
            <w:r>
              <w:rPr>
                <w:rFonts w:hint="eastAsia" w:ascii="仿宋_GB2312" w:hAnsi="宋体" w:eastAsia="仿宋_GB2312"/>
                <w:sz w:val="24"/>
              </w:rPr>
              <w:t>投标人具有与此招标项目类似案例。需提供项目业绩证明，每提供一份得</w:t>
            </w:r>
            <w:r>
              <w:rPr>
                <w:rFonts w:hint="eastAsia" w:ascii="仿宋_GB2312" w:hAnsi="宋体" w:eastAsia="仿宋_GB2312"/>
                <w:sz w:val="24"/>
                <w:lang w:val="en-US" w:eastAsia="zh-CN"/>
              </w:rPr>
              <w:t>5</w:t>
            </w:r>
            <w:r>
              <w:rPr>
                <w:rFonts w:hint="eastAsia" w:ascii="仿宋_GB2312" w:hAnsi="宋体" w:eastAsia="仿宋_GB2312"/>
                <w:sz w:val="24"/>
              </w:rPr>
              <w:t>分</w:t>
            </w:r>
            <w:r>
              <w:rPr>
                <w:rFonts w:hint="eastAsia" w:ascii="仿宋_GB2312" w:hAnsi="宋体" w:eastAsia="仿宋_GB2312"/>
                <w:sz w:val="24"/>
                <w:lang w:eastAsia="zh-CN"/>
              </w:rPr>
              <w:t>，</w:t>
            </w:r>
            <w:r>
              <w:rPr>
                <w:rFonts w:hint="eastAsia" w:ascii="仿宋_GB2312" w:hAnsi="宋体" w:eastAsia="仿宋_GB2312"/>
                <w:sz w:val="24"/>
                <w:lang w:val="en-US" w:eastAsia="zh-CN"/>
              </w:rPr>
              <w:t>案例得分最高15分。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8" w:hRule="atLeast"/>
        </w:trPr>
        <w:tc>
          <w:tcPr>
            <w:tcW w:w="1618" w:type="dxa"/>
            <w:noWrap w:val="0"/>
            <w:vAlign w:val="center"/>
          </w:tcPr>
          <w:p>
            <w:pPr>
              <w:spacing w:line="360" w:lineRule="auto"/>
              <w:jc w:val="center"/>
              <w:rPr>
                <w:rFonts w:hint="eastAsia" w:ascii="仿宋" w:hAnsi="仿宋" w:eastAsia="仿宋" w:cs="Times New Roman"/>
                <w:kern w:val="2"/>
                <w:sz w:val="24"/>
                <w:szCs w:val="24"/>
                <w:lang w:val="zh-CN" w:eastAsia="zh-CN" w:bidi="ar-SA"/>
              </w:rPr>
            </w:pPr>
            <w:r>
              <w:rPr>
                <w:rFonts w:hint="eastAsia" w:ascii="仿宋" w:hAnsi="仿宋" w:eastAsia="仿宋" w:cs="Times New Roman"/>
                <w:sz w:val="24"/>
                <w:szCs w:val="24"/>
              </w:rPr>
              <w:t>技术参数响应</w:t>
            </w: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25分</w:t>
            </w:r>
            <w:r>
              <w:rPr>
                <w:rFonts w:hint="eastAsia" w:ascii="仿宋" w:hAnsi="仿宋" w:eastAsia="仿宋" w:cs="Times New Roman"/>
                <w:sz w:val="24"/>
                <w:szCs w:val="24"/>
                <w:lang w:eastAsia="zh-CN"/>
              </w:rPr>
              <w:t>）</w:t>
            </w:r>
          </w:p>
        </w:tc>
        <w:tc>
          <w:tcPr>
            <w:tcW w:w="7074" w:type="dxa"/>
            <w:noWrap w:val="0"/>
            <w:vAlign w:val="center"/>
          </w:tcPr>
          <w:p>
            <w:pPr>
              <w:spacing w:line="360" w:lineRule="auto"/>
              <w:rPr>
                <w:rFonts w:hint="eastAsia" w:ascii="仿宋_GB2312" w:hAnsi="宋体" w:eastAsia="仿宋_GB2312" w:cs="Times New Roman"/>
                <w:sz w:val="24"/>
                <w:lang w:eastAsia="zh-CN"/>
              </w:rPr>
            </w:pPr>
            <w:r>
              <w:rPr>
                <w:rFonts w:hint="eastAsia" w:ascii="仿宋_GB2312" w:hAnsi="宋体" w:eastAsia="仿宋_GB2312" w:cs="Times New Roman"/>
                <w:sz w:val="24"/>
                <w:lang w:eastAsia="zh-CN"/>
              </w:rPr>
              <w:t>根据投标人所投产品的技术参数与招标文件要求的技术参数响应性，完全符合得满分，技术参数有负偏离的相应扣减得分。(</w:t>
            </w:r>
            <w:r>
              <w:rPr>
                <w:rFonts w:hint="eastAsia" w:ascii="仿宋_GB2312" w:hAnsi="宋体" w:eastAsia="仿宋_GB2312" w:cs="Times New Roman"/>
                <w:sz w:val="24"/>
                <w:lang w:val="en-US" w:eastAsia="zh-CN"/>
              </w:rPr>
              <w:t>25</w:t>
            </w:r>
            <w:r>
              <w:rPr>
                <w:rFonts w:hint="eastAsia" w:ascii="仿宋_GB2312" w:hAnsi="宋体" w:eastAsia="仿宋_GB2312" w:cs="Times New Roman"/>
                <w:sz w:val="24"/>
                <w:lang w:eastAsia="zh-CN"/>
              </w:rPr>
              <w:t xml:space="preserve">分)  </w:t>
            </w:r>
          </w:p>
          <w:p>
            <w:pPr>
              <w:spacing w:line="360" w:lineRule="auto"/>
              <w:rPr>
                <w:rFonts w:hint="eastAsia" w:ascii="仿宋" w:hAnsi="仿宋" w:eastAsia="仿宋" w:cs="Times New Roman"/>
                <w:i/>
                <w:color w:val="FF0000"/>
                <w:kern w:val="2"/>
                <w:sz w:val="24"/>
                <w:szCs w:val="24"/>
                <w:lang w:val="zh-CN" w:eastAsia="zh-CN" w:bidi="ar-SA"/>
              </w:rPr>
            </w:pPr>
            <w:r>
              <w:rPr>
                <w:rFonts w:hint="eastAsia" w:ascii="仿宋_GB2312" w:hAnsi="宋体" w:eastAsia="仿宋_GB2312" w:cs="Times New Roman"/>
                <w:sz w:val="24"/>
                <w:lang w:eastAsia="zh-CN"/>
              </w:rPr>
              <w:t>注：不满足标注“*”的技术参数，按无效标处理；其他技术参数不满足每项扣0.5分，扣完为止。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5" w:hRule="atLeast"/>
        </w:trPr>
        <w:tc>
          <w:tcPr>
            <w:tcW w:w="1618" w:type="dxa"/>
            <w:noWrap w:val="0"/>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项目方案</w:t>
            </w:r>
          </w:p>
          <w:p>
            <w:pPr>
              <w:spacing w:line="360" w:lineRule="auto"/>
              <w:jc w:val="center"/>
              <w:rPr>
                <w:rFonts w:hint="eastAsia" w:ascii="仿宋" w:hAnsi="仿宋" w:eastAsia="仿宋" w:cs="Times New Roman"/>
                <w:kern w:val="2"/>
                <w:sz w:val="24"/>
                <w:szCs w:val="24"/>
                <w:lang w:val="zh-CN" w:eastAsia="zh-CN" w:bidi="ar-SA"/>
              </w:rPr>
            </w:pP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15分</w:t>
            </w:r>
            <w:r>
              <w:rPr>
                <w:rFonts w:hint="eastAsia" w:ascii="仿宋" w:hAnsi="仿宋" w:eastAsia="仿宋" w:cs="Times New Roman"/>
                <w:sz w:val="24"/>
                <w:szCs w:val="24"/>
                <w:lang w:eastAsia="zh-CN"/>
              </w:rPr>
              <w:t>）</w:t>
            </w:r>
          </w:p>
        </w:tc>
        <w:tc>
          <w:tcPr>
            <w:tcW w:w="7074" w:type="dxa"/>
            <w:noWrap w:val="0"/>
            <w:vAlign w:val="center"/>
          </w:tcPr>
          <w:p>
            <w:pPr>
              <w:spacing w:line="360" w:lineRule="auto"/>
              <w:contextualSpacing/>
              <w:rPr>
                <w:rFonts w:hint="eastAsia" w:ascii="仿宋" w:hAnsi="仿宋" w:eastAsia="仿宋" w:cs="宋体"/>
                <w:i/>
                <w:color w:val="FF0000"/>
                <w:kern w:val="1"/>
                <w:sz w:val="24"/>
                <w:szCs w:val="24"/>
                <w:lang w:val="zh-CN" w:eastAsia="zh-CN" w:bidi="ar-SA"/>
              </w:rPr>
            </w:pPr>
            <w:r>
              <w:rPr>
                <w:rFonts w:hint="eastAsia" w:ascii="仿宋_GB2312" w:eastAsia="仿宋_GB2312" w:cs="宋体"/>
                <w:sz w:val="24"/>
              </w:rPr>
              <w:t>项目整体技术方案的合理性、可靠性、先进性、兼容性、可扩展性、可维护性、安全性等。优</w:t>
            </w:r>
            <w:r>
              <w:rPr>
                <w:rFonts w:hint="eastAsia" w:ascii="仿宋_GB2312" w:eastAsia="仿宋_GB2312" w:cs="宋体"/>
                <w:sz w:val="24"/>
                <w:lang w:val="en-US" w:eastAsia="zh-CN"/>
              </w:rPr>
              <w:t>11</w:t>
            </w:r>
            <w:r>
              <w:rPr>
                <w:rFonts w:hint="eastAsia" w:ascii="仿宋_GB2312" w:eastAsia="仿宋_GB2312" w:cs="宋体"/>
                <w:sz w:val="24"/>
              </w:rPr>
              <w:t>-</w:t>
            </w:r>
            <w:r>
              <w:rPr>
                <w:rFonts w:hint="eastAsia" w:ascii="仿宋_GB2312" w:eastAsia="仿宋_GB2312" w:cs="宋体"/>
                <w:sz w:val="24"/>
                <w:lang w:val="en-US" w:eastAsia="zh-CN"/>
              </w:rPr>
              <w:t>15</w:t>
            </w:r>
            <w:r>
              <w:rPr>
                <w:rFonts w:hint="eastAsia" w:ascii="仿宋_GB2312" w:eastAsia="仿宋_GB2312" w:cs="宋体"/>
                <w:sz w:val="24"/>
              </w:rPr>
              <w:t>分；良</w:t>
            </w:r>
            <w:r>
              <w:rPr>
                <w:rFonts w:hint="eastAsia" w:ascii="仿宋_GB2312" w:eastAsia="仿宋_GB2312" w:cs="宋体"/>
                <w:sz w:val="24"/>
                <w:lang w:val="en-US" w:eastAsia="zh-CN"/>
              </w:rPr>
              <w:t>6</w:t>
            </w:r>
            <w:r>
              <w:rPr>
                <w:rFonts w:hint="eastAsia" w:ascii="仿宋_GB2312" w:eastAsia="仿宋_GB2312" w:cs="宋体"/>
                <w:sz w:val="24"/>
              </w:rPr>
              <w:t>-</w:t>
            </w:r>
            <w:r>
              <w:rPr>
                <w:rFonts w:hint="eastAsia" w:ascii="仿宋_GB2312" w:eastAsia="仿宋_GB2312" w:cs="宋体"/>
                <w:sz w:val="24"/>
                <w:lang w:val="en-US" w:eastAsia="zh-CN"/>
              </w:rPr>
              <w:t>10</w:t>
            </w:r>
            <w:r>
              <w:rPr>
                <w:rFonts w:hint="eastAsia" w:ascii="仿宋_GB2312" w:eastAsia="仿宋_GB2312" w:cs="宋体"/>
                <w:sz w:val="24"/>
              </w:rPr>
              <w:t>分；一般</w:t>
            </w:r>
            <w:r>
              <w:rPr>
                <w:rFonts w:hint="eastAsia" w:ascii="仿宋_GB2312" w:eastAsia="仿宋_GB2312" w:cs="宋体"/>
                <w:sz w:val="24"/>
                <w:lang w:val="en-US" w:eastAsia="zh-CN"/>
              </w:rPr>
              <w:t>1</w:t>
            </w:r>
            <w:r>
              <w:rPr>
                <w:rFonts w:hint="eastAsia" w:ascii="仿宋_GB2312" w:eastAsia="仿宋_GB2312" w:cs="宋体"/>
                <w:sz w:val="24"/>
              </w:rPr>
              <w:t>-</w:t>
            </w:r>
            <w:r>
              <w:rPr>
                <w:rFonts w:hint="eastAsia" w:ascii="仿宋_GB2312" w:eastAsia="仿宋_GB2312" w:cs="宋体"/>
                <w:sz w:val="24"/>
                <w:lang w:val="en-US" w:eastAsia="zh-CN"/>
              </w:rPr>
              <w:t>5</w:t>
            </w:r>
            <w:r>
              <w:rPr>
                <w:rFonts w:hint="eastAsia" w:ascii="仿宋_GB2312" w:eastAsia="仿宋_GB2312" w:cs="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4" w:hRule="atLeast"/>
        </w:trPr>
        <w:tc>
          <w:tcPr>
            <w:tcW w:w="1618" w:type="dxa"/>
            <w:noWrap w:val="0"/>
            <w:vAlign w:val="center"/>
          </w:tcPr>
          <w:p>
            <w:pPr>
              <w:spacing w:line="360" w:lineRule="auto"/>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实施方案</w:t>
            </w:r>
          </w:p>
          <w:p>
            <w:pPr>
              <w:spacing w:line="360" w:lineRule="auto"/>
              <w:jc w:val="center"/>
              <w:rPr>
                <w:rFonts w:hint="eastAsia" w:ascii="仿宋" w:hAnsi="仿宋" w:eastAsia="仿宋" w:cs="Times New Roman"/>
                <w:kern w:val="2"/>
                <w:sz w:val="24"/>
                <w:szCs w:val="24"/>
                <w:lang w:val="zh-CN" w:eastAsia="zh-CN" w:bidi="ar-SA"/>
              </w:rPr>
            </w:pPr>
            <w:r>
              <w:rPr>
                <w:rFonts w:hint="eastAsia" w:ascii="仿宋" w:hAnsi="仿宋" w:eastAsia="仿宋" w:cs="Times New Roman"/>
                <w:sz w:val="24"/>
                <w:szCs w:val="24"/>
                <w:lang w:val="en-US" w:eastAsia="zh-CN"/>
              </w:rPr>
              <w:t>（5分）</w:t>
            </w:r>
          </w:p>
        </w:tc>
        <w:tc>
          <w:tcPr>
            <w:tcW w:w="7074" w:type="dxa"/>
            <w:noWrap w:val="0"/>
            <w:vAlign w:val="center"/>
          </w:tcPr>
          <w:p>
            <w:pPr>
              <w:spacing w:line="360" w:lineRule="auto"/>
              <w:jc w:val="left"/>
              <w:rPr>
                <w:rFonts w:hint="eastAsia" w:ascii="仿宋" w:hAnsi="仿宋" w:eastAsia="仿宋" w:cs="Times New Roman"/>
                <w:b/>
                <w:i/>
                <w:color w:val="FF0000"/>
                <w:kern w:val="2"/>
                <w:sz w:val="24"/>
                <w:szCs w:val="24"/>
                <w:lang w:val="en-US" w:eastAsia="zh-CN" w:bidi="ar-SA"/>
              </w:rPr>
            </w:pPr>
            <w:r>
              <w:rPr>
                <w:rFonts w:hint="eastAsia" w:ascii="仿宋" w:hAnsi="仿宋" w:eastAsia="仿宋" w:cs="Times New Roman"/>
                <w:sz w:val="24"/>
                <w:szCs w:val="24"/>
              </w:rPr>
              <w:t>项目实施与验收方案的整体性、可靠性、先进性、兼容性、可扩展性、可维护性、安全性等。优</w:t>
            </w:r>
            <w:r>
              <w:rPr>
                <w:rFonts w:hint="eastAsia" w:ascii="仿宋" w:hAnsi="仿宋" w:eastAsia="仿宋" w:cs="Times New Roman"/>
                <w:sz w:val="24"/>
                <w:szCs w:val="24"/>
                <w:lang w:val="en-US" w:eastAsia="zh-CN"/>
              </w:rPr>
              <w:t>4</w:t>
            </w:r>
            <w:r>
              <w:rPr>
                <w:rFonts w:hint="eastAsia" w:ascii="仿宋" w:hAnsi="仿宋" w:eastAsia="仿宋" w:cs="Times New Roman"/>
                <w:sz w:val="24"/>
                <w:szCs w:val="24"/>
              </w:rPr>
              <w:t>-</w:t>
            </w:r>
            <w:r>
              <w:rPr>
                <w:rFonts w:hint="eastAsia" w:ascii="仿宋" w:hAnsi="仿宋" w:eastAsia="仿宋" w:cs="Times New Roman"/>
                <w:sz w:val="24"/>
                <w:szCs w:val="24"/>
                <w:lang w:val="en-US" w:eastAsia="zh-CN"/>
              </w:rPr>
              <w:t>5</w:t>
            </w:r>
            <w:r>
              <w:rPr>
                <w:rFonts w:hint="eastAsia" w:ascii="仿宋" w:hAnsi="仿宋" w:eastAsia="仿宋" w:cs="Times New Roman"/>
                <w:sz w:val="24"/>
                <w:szCs w:val="24"/>
              </w:rPr>
              <w:t>分；良</w:t>
            </w:r>
            <w:r>
              <w:rPr>
                <w:rFonts w:hint="eastAsia" w:ascii="仿宋" w:hAnsi="仿宋" w:eastAsia="仿宋" w:cs="Times New Roman"/>
                <w:sz w:val="24"/>
                <w:szCs w:val="24"/>
                <w:lang w:val="en-US" w:eastAsia="zh-CN"/>
              </w:rPr>
              <w:t>2</w:t>
            </w:r>
            <w:r>
              <w:rPr>
                <w:rFonts w:hint="eastAsia" w:ascii="仿宋" w:hAnsi="仿宋" w:eastAsia="仿宋" w:cs="Times New Roman"/>
                <w:sz w:val="24"/>
                <w:szCs w:val="24"/>
              </w:rPr>
              <w:t>-</w:t>
            </w:r>
            <w:r>
              <w:rPr>
                <w:rFonts w:hint="eastAsia" w:ascii="仿宋" w:hAnsi="仿宋" w:eastAsia="仿宋" w:cs="Times New Roman"/>
                <w:sz w:val="24"/>
                <w:szCs w:val="24"/>
                <w:lang w:val="en-US" w:eastAsia="zh-CN"/>
              </w:rPr>
              <w:t>3</w:t>
            </w:r>
            <w:r>
              <w:rPr>
                <w:rFonts w:hint="eastAsia" w:ascii="仿宋" w:hAnsi="仿宋" w:eastAsia="仿宋" w:cs="Times New Roman"/>
                <w:sz w:val="24"/>
                <w:szCs w:val="24"/>
              </w:rPr>
              <w:t>分；一般0-</w:t>
            </w:r>
            <w:r>
              <w:rPr>
                <w:rFonts w:hint="eastAsia" w:ascii="仿宋" w:hAnsi="仿宋" w:eastAsia="仿宋" w:cs="Times New Roman"/>
                <w:sz w:val="24"/>
                <w:szCs w:val="24"/>
                <w:lang w:val="en-US" w:eastAsia="zh-CN"/>
              </w:rPr>
              <w:t>1</w:t>
            </w:r>
            <w:r>
              <w:rPr>
                <w:rFonts w:hint="eastAsia" w:ascii="仿宋" w:hAnsi="仿宋" w:eastAsia="仿宋" w:cs="Times New Roman"/>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1618" w:type="dxa"/>
            <w:noWrap w:val="0"/>
            <w:vAlign w:val="center"/>
          </w:tcPr>
          <w:p>
            <w:pPr>
              <w:spacing w:line="360" w:lineRule="auto"/>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实施周期</w:t>
            </w:r>
          </w:p>
          <w:p>
            <w:pPr>
              <w:spacing w:line="360" w:lineRule="auto"/>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lang w:val="en-US" w:eastAsia="zh-CN"/>
              </w:rPr>
              <w:t>（3分）</w:t>
            </w:r>
          </w:p>
        </w:tc>
        <w:tc>
          <w:tcPr>
            <w:tcW w:w="7074" w:type="dxa"/>
            <w:noWrap w:val="0"/>
            <w:vAlign w:val="center"/>
          </w:tcPr>
          <w:p>
            <w:pPr>
              <w:spacing w:line="360" w:lineRule="auto"/>
              <w:jc w:val="left"/>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rPr>
              <w:t>是否提供开发整体系统的明确、合理的项目实施周期、进度表：</w:t>
            </w:r>
            <w:r>
              <w:rPr>
                <w:rFonts w:hint="eastAsia" w:ascii="仿宋" w:hAnsi="仿宋" w:eastAsia="仿宋" w:cs="Times New Roman"/>
                <w:sz w:val="24"/>
                <w:szCs w:val="24"/>
                <w:lang w:val="en-US" w:eastAsia="zh-CN"/>
              </w:rPr>
              <w:t>3</w:t>
            </w:r>
            <w:r>
              <w:rPr>
                <w:rFonts w:hint="eastAsia" w:ascii="仿宋" w:hAnsi="仿宋" w:eastAsia="仿宋" w:cs="Times New Roman"/>
                <w:sz w:val="24"/>
                <w:szCs w:val="24"/>
              </w:rPr>
              <w:t>分；（最合理者</w:t>
            </w:r>
            <w:r>
              <w:rPr>
                <w:rFonts w:hint="eastAsia" w:ascii="仿宋" w:hAnsi="仿宋" w:eastAsia="仿宋" w:cs="Times New Roman"/>
                <w:sz w:val="24"/>
                <w:szCs w:val="24"/>
                <w:lang w:val="en-US" w:eastAsia="zh-CN"/>
              </w:rPr>
              <w:t>3</w:t>
            </w:r>
            <w:r>
              <w:rPr>
                <w:rFonts w:hint="eastAsia" w:ascii="仿宋" w:hAnsi="仿宋" w:eastAsia="仿宋" w:cs="Times New Roman"/>
                <w:sz w:val="24"/>
                <w:szCs w:val="24"/>
              </w:rPr>
              <w:t>分，其他酌情递减，但每档至少相差0.2分）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5" w:hRule="atLeast"/>
        </w:trPr>
        <w:tc>
          <w:tcPr>
            <w:tcW w:w="1618" w:type="dxa"/>
            <w:noWrap w:val="0"/>
            <w:vAlign w:val="center"/>
          </w:tcPr>
          <w:p>
            <w:pPr>
              <w:spacing w:line="360" w:lineRule="auto"/>
              <w:jc w:val="center"/>
              <w:rPr>
                <w:rFonts w:hint="eastAsia" w:ascii="仿宋" w:hAnsi="仿宋" w:eastAsia="仿宋" w:cs="Times New Roman"/>
                <w:sz w:val="24"/>
                <w:szCs w:val="24"/>
                <w:lang w:val="en-US" w:eastAsia="zh-CN"/>
              </w:rPr>
            </w:pPr>
            <w:r>
              <w:rPr>
                <w:rFonts w:hint="eastAsia" w:ascii="仿宋" w:hAnsi="仿宋" w:eastAsia="仿宋" w:cs="Times New Roman"/>
                <w:sz w:val="24"/>
                <w:szCs w:val="24"/>
                <w:lang w:val="en-US" w:eastAsia="zh-CN"/>
              </w:rPr>
              <w:t>文档资料</w:t>
            </w:r>
          </w:p>
          <w:p>
            <w:pPr>
              <w:spacing w:line="360" w:lineRule="auto"/>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lang w:val="en-US" w:eastAsia="zh-CN"/>
              </w:rPr>
              <w:t>（2分）</w:t>
            </w:r>
          </w:p>
        </w:tc>
        <w:tc>
          <w:tcPr>
            <w:tcW w:w="7074" w:type="dxa"/>
            <w:noWrap w:val="0"/>
            <w:vAlign w:val="center"/>
          </w:tcPr>
          <w:p>
            <w:pPr>
              <w:spacing w:line="360" w:lineRule="auto"/>
              <w:jc w:val="left"/>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rPr>
              <w:t>是否承诺提供文档资料：</w:t>
            </w:r>
            <w:r>
              <w:rPr>
                <w:rFonts w:hint="eastAsia" w:ascii="仿宋" w:hAnsi="仿宋" w:eastAsia="仿宋" w:cs="Times New Roman"/>
                <w:sz w:val="24"/>
                <w:szCs w:val="24"/>
                <w:lang w:val="en-US" w:eastAsia="zh-CN"/>
              </w:rPr>
              <w:t>2</w:t>
            </w:r>
            <w:r>
              <w:rPr>
                <w:rFonts w:hint="eastAsia" w:ascii="仿宋" w:hAnsi="仿宋" w:eastAsia="仿宋" w:cs="Times New Roman"/>
                <w:sz w:val="24"/>
                <w:szCs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4" w:hRule="atLeast"/>
        </w:trPr>
        <w:tc>
          <w:tcPr>
            <w:tcW w:w="1618" w:type="dxa"/>
            <w:noWrap w:val="0"/>
            <w:vAlign w:val="center"/>
          </w:tcPr>
          <w:p>
            <w:pPr>
              <w:spacing w:line="360" w:lineRule="auto"/>
              <w:jc w:val="center"/>
              <w:rPr>
                <w:rFonts w:hint="eastAsia" w:ascii="仿宋" w:hAnsi="仿宋" w:eastAsia="仿宋" w:cs="Times New Roman"/>
                <w:sz w:val="24"/>
                <w:szCs w:val="24"/>
              </w:rPr>
            </w:pPr>
            <w:r>
              <w:rPr>
                <w:rFonts w:hint="eastAsia" w:ascii="仿宋" w:hAnsi="仿宋" w:eastAsia="仿宋" w:cs="Times New Roman"/>
                <w:sz w:val="24"/>
                <w:szCs w:val="24"/>
              </w:rPr>
              <w:t>售后服务</w:t>
            </w:r>
          </w:p>
          <w:p>
            <w:pPr>
              <w:spacing w:line="360" w:lineRule="auto"/>
              <w:jc w:val="center"/>
              <w:rPr>
                <w:rFonts w:hint="eastAsia" w:ascii="仿宋" w:hAnsi="仿宋" w:eastAsia="仿宋" w:cs="Times New Roman"/>
                <w:kern w:val="2"/>
                <w:sz w:val="24"/>
                <w:szCs w:val="24"/>
                <w:lang w:val="en-US" w:eastAsia="zh-CN" w:bidi="ar-SA"/>
              </w:rPr>
            </w:pPr>
            <w:r>
              <w:rPr>
                <w:rFonts w:hint="eastAsia" w:ascii="仿宋" w:hAnsi="仿宋" w:eastAsia="仿宋" w:cs="Times New Roman"/>
                <w:sz w:val="24"/>
                <w:szCs w:val="24"/>
                <w:lang w:eastAsia="zh-CN"/>
              </w:rPr>
              <w:t>（</w:t>
            </w:r>
            <w:r>
              <w:rPr>
                <w:rFonts w:hint="eastAsia" w:ascii="仿宋" w:hAnsi="仿宋" w:eastAsia="仿宋" w:cs="Times New Roman"/>
                <w:sz w:val="24"/>
                <w:szCs w:val="24"/>
                <w:lang w:val="en-US" w:eastAsia="zh-CN"/>
              </w:rPr>
              <w:t>10分</w:t>
            </w:r>
            <w:r>
              <w:rPr>
                <w:rFonts w:hint="eastAsia" w:ascii="仿宋" w:hAnsi="仿宋" w:eastAsia="仿宋" w:cs="Times New Roman"/>
                <w:sz w:val="24"/>
                <w:szCs w:val="24"/>
                <w:lang w:eastAsia="zh-CN"/>
              </w:rPr>
              <w:t>）</w:t>
            </w:r>
          </w:p>
        </w:tc>
        <w:tc>
          <w:tcPr>
            <w:tcW w:w="7074" w:type="dxa"/>
            <w:noWrap w:val="0"/>
            <w:vAlign w:val="center"/>
          </w:tcPr>
          <w:p>
            <w:pPr>
              <w:spacing w:line="360" w:lineRule="auto"/>
              <w:contextualSpacing/>
              <w:rPr>
                <w:rFonts w:hint="eastAsia" w:ascii="仿宋" w:hAnsi="仿宋" w:eastAsia="仿宋" w:cs="宋体"/>
                <w:i/>
                <w:color w:val="FF0000"/>
                <w:kern w:val="1"/>
                <w:sz w:val="24"/>
                <w:szCs w:val="24"/>
                <w:lang w:val="en-US" w:eastAsia="zh-CN" w:bidi="ar-SA"/>
              </w:rPr>
            </w:pPr>
            <w:r>
              <w:rPr>
                <w:rFonts w:hint="eastAsia" w:ascii="仿宋_GB2312" w:eastAsia="仿宋_GB2312" w:cs="宋体"/>
                <w:sz w:val="24"/>
              </w:rPr>
              <w:t>根据投标人的售后服务方案进行评分，依据售后服务计划，人员安排，及时性，紧急处理预案等方面进行评分，</w:t>
            </w:r>
            <w:r>
              <w:rPr>
                <w:rFonts w:hint="eastAsia" w:ascii="仿宋" w:hAnsi="仿宋" w:eastAsia="仿宋" w:cs="Times New Roman"/>
                <w:sz w:val="24"/>
                <w:szCs w:val="24"/>
              </w:rPr>
              <w:t>优</w:t>
            </w:r>
            <w:r>
              <w:rPr>
                <w:rFonts w:hint="eastAsia" w:ascii="仿宋" w:hAnsi="仿宋" w:eastAsia="仿宋" w:cs="Times New Roman"/>
                <w:sz w:val="24"/>
                <w:szCs w:val="24"/>
                <w:lang w:val="en-US" w:eastAsia="zh-CN"/>
              </w:rPr>
              <w:t>8</w:t>
            </w:r>
            <w:r>
              <w:rPr>
                <w:rFonts w:hint="eastAsia" w:ascii="仿宋" w:hAnsi="仿宋" w:eastAsia="仿宋" w:cs="Times New Roman"/>
                <w:sz w:val="24"/>
                <w:szCs w:val="24"/>
              </w:rPr>
              <w:t>-</w:t>
            </w:r>
            <w:r>
              <w:rPr>
                <w:rFonts w:hint="eastAsia" w:ascii="仿宋" w:hAnsi="仿宋" w:eastAsia="仿宋" w:cs="Times New Roman"/>
                <w:sz w:val="24"/>
                <w:szCs w:val="24"/>
                <w:lang w:val="en-US" w:eastAsia="zh-CN"/>
              </w:rPr>
              <w:t>10</w:t>
            </w:r>
            <w:r>
              <w:rPr>
                <w:rFonts w:hint="eastAsia" w:ascii="仿宋" w:hAnsi="仿宋" w:eastAsia="仿宋" w:cs="Times New Roman"/>
                <w:sz w:val="24"/>
                <w:szCs w:val="24"/>
              </w:rPr>
              <w:t>分；良</w:t>
            </w:r>
            <w:r>
              <w:rPr>
                <w:rFonts w:hint="eastAsia" w:ascii="仿宋" w:hAnsi="仿宋" w:eastAsia="仿宋" w:cs="Times New Roman"/>
                <w:sz w:val="24"/>
                <w:szCs w:val="24"/>
                <w:lang w:val="en-US" w:eastAsia="zh-CN"/>
              </w:rPr>
              <w:t>4</w:t>
            </w:r>
            <w:r>
              <w:rPr>
                <w:rFonts w:hint="eastAsia" w:ascii="仿宋" w:hAnsi="仿宋" w:eastAsia="仿宋" w:cs="Times New Roman"/>
                <w:sz w:val="24"/>
                <w:szCs w:val="24"/>
              </w:rPr>
              <w:t>-</w:t>
            </w:r>
            <w:r>
              <w:rPr>
                <w:rFonts w:hint="eastAsia" w:ascii="仿宋" w:hAnsi="仿宋" w:eastAsia="仿宋" w:cs="Times New Roman"/>
                <w:sz w:val="24"/>
                <w:szCs w:val="24"/>
                <w:lang w:val="en-US" w:eastAsia="zh-CN"/>
              </w:rPr>
              <w:t>7</w:t>
            </w:r>
            <w:r>
              <w:rPr>
                <w:rFonts w:hint="eastAsia" w:ascii="仿宋" w:hAnsi="仿宋" w:eastAsia="仿宋" w:cs="Times New Roman"/>
                <w:sz w:val="24"/>
                <w:szCs w:val="24"/>
              </w:rPr>
              <w:t>分；一般0-</w:t>
            </w:r>
            <w:r>
              <w:rPr>
                <w:rFonts w:hint="eastAsia" w:ascii="仿宋" w:hAnsi="仿宋" w:eastAsia="仿宋" w:cs="Times New Roman"/>
                <w:sz w:val="24"/>
                <w:szCs w:val="24"/>
                <w:lang w:val="en-US" w:eastAsia="zh-CN"/>
              </w:rPr>
              <w:t>3</w:t>
            </w:r>
            <w:r>
              <w:rPr>
                <w:rFonts w:hint="eastAsia" w:ascii="仿宋" w:hAnsi="仿宋" w:eastAsia="仿宋" w:cs="Times New Roman"/>
                <w:sz w:val="24"/>
                <w:szCs w:val="24"/>
              </w:rPr>
              <w:t>分。</w:t>
            </w:r>
          </w:p>
        </w:tc>
      </w:tr>
    </w:tbl>
    <w:p>
      <w:pPr>
        <w:snapToGrid w:val="0"/>
        <w:spacing w:line="480" w:lineRule="exact"/>
        <w:ind w:firstLine="241" w:firstLineChars="100"/>
        <w:outlineLvl w:val="1"/>
        <w:rPr>
          <w:rFonts w:ascii="宋体"/>
          <w:b/>
          <w:bCs/>
          <w:color w:val="auto"/>
          <w:sz w:val="24"/>
          <w:szCs w:val="24"/>
          <w:highlight w:val="none"/>
        </w:rPr>
      </w:pPr>
    </w:p>
    <w:p>
      <w:pPr>
        <w:snapToGrid w:val="0"/>
        <w:spacing w:line="480" w:lineRule="exact"/>
        <w:ind w:firstLine="241" w:firstLineChars="100"/>
        <w:outlineLvl w:val="1"/>
        <w:rPr>
          <w:rFonts w:ascii="宋体" w:cs="宋体"/>
          <w:b/>
          <w:bCs/>
          <w:color w:val="auto"/>
          <w:sz w:val="24"/>
          <w:szCs w:val="24"/>
          <w:highlight w:val="none"/>
        </w:rPr>
      </w:pPr>
      <w:r>
        <w:rPr>
          <w:rFonts w:hint="eastAsia" w:ascii="宋体" w:hAnsi="宋体" w:cs="宋体"/>
          <w:b/>
          <w:bCs/>
          <w:color w:val="auto"/>
          <w:sz w:val="24"/>
          <w:szCs w:val="24"/>
          <w:highlight w:val="none"/>
        </w:rPr>
        <w:t>（二）商务报价响应评分：（</w:t>
      </w:r>
      <w:r>
        <w:rPr>
          <w:rFonts w:hint="eastAsia" w:ascii="宋体" w:hAnsi="宋体" w:cs="宋体"/>
          <w:b/>
          <w:bCs/>
          <w:color w:val="auto"/>
          <w:sz w:val="24"/>
          <w:szCs w:val="24"/>
          <w:highlight w:val="none"/>
          <w:lang w:val="en-US" w:eastAsia="zh-CN"/>
        </w:rPr>
        <w:t>15</w:t>
      </w:r>
      <w:r>
        <w:rPr>
          <w:rFonts w:hint="eastAsia" w:ascii="宋体" w:hAnsi="宋体" w:cs="宋体"/>
          <w:b/>
          <w:bCs/>
          <w:color w:val="auto"/>
          <w:sz w:val="24"/>
          <w:szCs w:val="24"/>
          <w:highlight w:val="none"/>
        </w:rPr>
        <w:t>分）</w:t>
      </w:r>
    </w:p>
    <w:p>
      <w:pPr>
        <w:snapToGrid w:val="0"/>
        <w:spacing w:line="480" w:lineRule="exact"/>
        <w:ind w:firstLine="482" w:firstLineChars="200"/>
        <w:rPr>
          <w:rFonts w:ascii="宋体" w:cs="宋体"/>
          <w:b/>
          <w:color w:val="auto"/>
          <w:sz w:val="24"/>
          <w:szCs w:val="24"/>
          <w:highlight w:val="none"/>
        </w:rPr>
      </w:pPr>
      <w:r>
        <w:rPr>
          <w:rFonts w:hint="eastAsia" w:ascii="宋体" w:hAnsi="宋体" w:cs="宋体"/>
          <w:b/>
          <w:color w:val="auto"/>
          <w:sz w:val="24"/>
          <w:szCs w:val="24"/>
          <w:highlight w:val="none"/>
        </w:rPr>
        <w:t>本次项目最高限价为</w:t>
      </w:r>
      <w:r>
        <w:rPr>
          <w:rFonts w:hint="eastAsia"/>
          <w:b/>
          <w:bCs/>
          <w:color w:val="auto"/>
          <w:sz w:val="24"/>
          <w:highlight w:val="none"/>
          <w:lang w:val="en-US" w:eastAsia="zh-CN"/>
        </w:rPr>
        <w:t>10万元</w:t>
      </w:r>
      <w:r>
        <w:rPr>
          <w:rFonts w:hint="eastAsia" w:ascii="宋体" w:hAnsi="宋体" w:cs="宋体"/>
          <w:b/>
          <w:color w:val="auto"/>
          <w:sz w:val="24"/>
          <w:szCs w:val="24"/>
          <w:highlight w:val="none"/>
        </w:rPr>
        <w:t>，报价不得超过限价，否则做无效投标处理。</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满足磋商文件要求且最后报价最低的供应商的价格为磋商基准价，其商务报价</w:t>
      </w:r>
      <w:r>
        <w:rPr>
          <w:rFonts w:hint="eastAsia" w:ascii="宋体" w:hAnsi="宋体" w:cs="宋体"/>
          <w:color w:val="auto"/>
          <w:kern w:val="0"/>
          <w:sz w:val="24"/>
          <w:szCs w:val="24"/>
          <w:highlight w:val="none"/>
        </w:rPr>
        <w:t>响应</w:t>
      </w:r>
      <w:r>
        <w:rPr>
          <w:rFonts w:hint="eastAsia" w:ascii="宋体" w:hAnsi="宋体" w:cs="宋体"/>
          <w:color w:val="auto"/>
          <w:sz w:val="24"/>
          <w:szCs w:val="24"/>
          <w:highlight w:val="none"/>
        </w:rPr>
        <w:t>分为满分1</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rPr>
        <w:t>分。其他供应商的商务报价</w:t>
      </w:r>
      <w:r>
        <w:rPr>
          <w:rFonts w:hint="eastAsia" w:ascii="宋体" w:hAnsi="宋体" w:cs="宋体"/>
          <w:color w:val="auto"/>
          <w:kern w:val="0"/>
          <w:sz w:val="24"/>
          <w:szCs w:val="24"/>
          <w:highlight w:val="none"/>
        </w:rPr>
        <w:t>响应</w:t>
      </w:r>
      <w:r>
        <w:rPr>
          <w:rFonts w:hint="eastAsia" w:ascii="宋体" w:hAnsi="宋体" w:cs="宋体"/>
          <w:color w:val="auto"/>
          <w:sz w:val="24"/>
          <w:szCs w:val="24"/>
          <w:highlight w:val="none"/>
        </w:rPr>
        <w:t>分统一按照下列公式计算：</w:t>
      </w:r>
    </w:p>
    <w:p>
      <w:pPr>
        <w:snapToGrid w:val="0"/>
        <w:spacing w:line="480" w:lineRule="exact"/>
        <w:ind w:firstLine="482" w:firstLineChars="200"/>
        <w:rPr>
          <w:rFonts w:ascii="宋体" w:cs="宋体"/>
          <w:b/>
          <w:color w:val="auto"/>
          <w:sz w:val="24"/>
          <w:szCs w:val="24"/>
          <w:highlight w:val="none"/>
        </w:rPr>
      </w:pPr>
      <w:r>
        <w:rPr>
          <w:rFonts w:hint="eastAsia" w:ascii="宋体" w:hAnsi="宋体" w:cs="宋体"/>
          <w:b/>
          <w:color w:val="auto"/>
          <w:sz w:val="24"/>
          <w:szCs w:val="24"/>
          <w:highlight w:val="none"/>
        </w:rPr>
        <w:t>商务报价</w:t>
      </w:r>
      <w:r>
        <w:rPr>
          <w:rFonts w:hint="eastAsia" w:ascii="宋体" w:hAnsi="宋体" w:cs="宋体"/>
          <w:b/>
          <w:color w:val="auto"/>
          <w:kern w:val="0"/>
          <w:sz w:val="24"/>
          <w:szCs w:val="24"/>
          <w:highlight w:val="none"/>
        </w:rPr>
        <w:t>响应</w:t>
      </w:r>
      <w:r>
        <w:rPr>
          <w:rFonts w:hint="eastAsia" w:ascii="宋体" w:hAnsi="宋体" w:cs="宋体"/>
          <w:b/>
          <w:color w:val="auto"/>
          <w:sz w:val="24"/>
          <w:szCs w:val="24"/>
          <w:highlight w:val="none"/>
        </w:rPr>
        <w:t>分</w:t>
      </w:r>
      <w:r>
        <w:rPr>
          <w:rFonts w:ascii="宋体" w:hAnsi="宋体" w:cs="宋体"/>
          <w:b/>
          <w:color w:val="auto"/>
          <w:sz w:val="24"/>
          <w:szCs w:val="24"/>
          <w:highlight w:val="none"/>
        </w:rPr>
        <w:t xml:space="preserve"> =</w:t>
      </w:r>
      <w:r>
        <w:rPr>
          <w:rFonts w:hint="eastAsia" w:ascii="宋体" w:hAnsi="宋体" w:cs="宋体"/>
          <w:b/>
          <w:color w:val="auto"/>
          <w:sz w:val="24"/>
          <w:szCs w:val="24"/>
          <w:highlight w:val="none"/>
        </w:rPr>
        <w:t>（磋商基准价</w:t>
      </w:r>
      <w:r>
        <w:rPr>
          <w:rFonts w:ascii="宋体" w:hAnsi="宋体" w:cs="宋体"/>
          <w:b/>
          <w:color w:val="auto"/>
          <w:sz w:val="24"/>
          <w:szCs w:val="24"/>
          <w:highlight w:val="none"/>
        </w:rPr>
        <w:t>/</w:t>
      </w:r>
      <w:r>
        <w:rPr>
          <w:rFonts w:hint="eastAsia" w:ascii="宋体" w:hAnsi="宋体" w:cs="宋体"/>
          <w:b/>
          <w:color w:val="auto"/>
          <w:sz w:val="24"/>
          <w:szCs w:val="24"/>
          <w:highlight w:val="none"/>
        </w:rPr>
        <w:t>最后磋商报价）×</w:t>
      </w:r>
      <w:r>
        <w:rPr>
          <w:rFonts w:hint="eastAsia" w:ascii="宋体" w:hAnsi="宋体" w:cs="宋体"/>
          <w:b/>
          <w:color w:val="auto"/>
          <w:sz w:val="24"/>
          <w:szCs w:val="24"/>
          <w:highlight w:val="none"/>
          <w:lang w:val="en-US" w:eastAsia="zh-CN"/>
        </w:rPr>
        <w:t>15</w:t>
      </w:r>
      <w:r>
        <w:rPr>
          <w:rFonts w:ascii="宋体" w:hAnsi="宋体" w:cs="宋体"/>
          <w:b/>
          <w:color w:val="auto"/>
          <w:sz w:val="24"/>
          <w:szCs w:val="24"/>
          <w:highlight w:val="none"/>
        </w:rPr>
        <w:t>%</w:t>
      </w:r>
      <w:r>
        <w:rPr>
          <w:rFonts w:hint="eastAsia" w:ascii="宋体" w:hAnsi="宋体" w:cs="宋体"/>
          <w:b/>
          <w:color w:val="auto"/>
          <w:sz w:val="24"/>
          <w:szCs w:val="24"/>
          <w:highlight w:val="none"/>
        </w:rPr>
        <w:t>×</w:t>
      </w:r>
      <w:r>
        <w:rPr>
          <w:rFonts w:ascii="宋体" w:hAnsi="宋体" w:cs="宋体"/>
          <w:b/>
          <w:color w:val="auto"/>
          <w:sz w:val="24"/>
          <w:szCs w:val="24"/>
          <w:highlight w:val="none"/>
        </w:rPr>
        <w:t>100</w:t>
      </w:r>
    </w:p>
    <w:p>
      <w:pPr>
        <w:snapToGrid w:val="0"/>
        <w:spacing w:line="480" w:lineRule="exact"/>
        <w:ind w:firstLine="487" w:firstLineChars="202"/>
        <w:jc w:val="left"/>
        <w:rPr>
          <w:rFonts w:hint="eastAsia"/>
          <w:b/>
          <w:bCs/>
          <w:color w:val="auto"/>
          <w:sz w:val="24"/>
          <w:szCs w:val="24"/>
          <w:highlight w:val="none"/>
        </w:rPr>
      </w:pPr>
      <w:r>
        <w:rPr>
          <w:rFonts w:hint="eastAsia"/>
          <w:b/>
          <w:bCs/>
          <w:color w:val="auto"/>
          <w:sz w:val="24"/>
          <w:szCs w:val="24"/>
          <w:highlight w:val="none"/>
        </w:rPr>
        <w:t>六、出现下列情形之一的，作无效响应处理</w:t>
      </w:r>
    </w:p>
    <w:p>
      <w:pPr>
        <w:snapToGrid w:val="0"/>
        <w:spacing w:line="480" w:lineRule="exact"/>
        <w:ind w:firstLine="484" w:firstLineChars="202"/>
        <w:jc w:val="left"/>
        <w:rPr>
          <w:rFonts w:hint="eastAsia"/>
          <w:color w:val="auto"/>
          <w:sz w:val="24"/>
          <w:szCs w:val="24"/>
          <w:highlight w:val="none"/>
        </w:rPr>
      </w:pPr>
      <w:r>
        <w:rPr>
          <w:rFonts w:hint="eastAsia"/>
          <w:color w:val="auto"/>
          <w:sz w:val="24"/>
          <w:szCs w:val="24"/>
          <w:highlight w:val="none"/>
          <w:lang w:eastAsia="zh-CN"/>
        </w:rPr>
        <w:t>1.</w:t>
      </w:r>
      <w:r>
        <w:rPr>
          <w:rFonts w:hint="eastAsia"/>
          <w:color w:val="auto"/>
          <w:sz w:val="24"/>
          <w:szCs w:val="24"/>
          <w:highlight w:val="none"/>
        </w:rPr>
        <w:t>响应文件未按磋商文件要求密封、签署、盖章及主要资料不齐全的；</w:t>
      </w:r>
    </w:p>
    <w:p>
      <w:pPr>
        <w:snapToGrid w:val="0"/>
        <w:spacing w:line="480" w:lineRule="exact"/>
        <w:ind w:firstLine="484" w:firstLineChars="202"/>
        <w:jc w:val="left"/>
        <w:rPr>
          <w:rFonts w:hint="eastAsia"/>
          <w:color w:val="auto"/>
          <w:sz w:val="24"/>
          <w:szCs w:val="24"/>
          <w:highlight w:val="none"/>
        </w:rPr>
      </w:pPr>
      <w:r>
        <w:rPr>
          <w:rFonts w:hint="eastAsia"/>
          <w:color w:val="auto"/>
          <w:sz w:val="24"/>
          <w:szCs w:val="24"/>
          <w:highlight w:val="none"/>
          <w:lang w:eastAsia="zh-CN"/>
        </w:rPr>
        <w:t>2.</w:t>
      </w:r>
      <w:r>
        <w:rPr>
          <w:rFonts w:hint="eastAsia"/>
          <w:color w:val="auto"/>
          <w:sz w:val="24"/>
          <w:szCs w:val="24"/>
          <w:highlight w:val="none"/>
        </w:rPr>
        <w:t>响应文件的资料有虚报或者谎报的；</w:t>
      </w:r>
    </w:p>
    <w:p>
      <w:pPr>
        <w:snapToGrid w:val="0"/>
        <w:spacing w:line="480" w:lineRule="exact"/>
        <w:ind w:firstLine="484" w:firstLineChars="202"/>
        <w:jc w:val="left"/>
        <w:rPr>
          <w:rFonts w:ascii="宋体" w:cs="宋体"/>
          <w:color w:val="auto"/>
          <w:sz w:val="24"/>
          <w:szCs w:val="24"/>
          <w:highlight w:val="none"/>
        </w:rPr>
      </w:pPr>
      <w:r>
        <w:rPr>
          <w:rFonts w:hint="eastAsia"/>
          <w:color w:val="auto"/>
          <w:sz w:val="24"/>
          <w:szCs w:val="24"/>
          <w:highlight w:val="none"/>
          <w:lang w:eastAsia="zh-CN"/>
        </w:rPr>
        <w:t>3.</w:t>
      </w:r>
      <w:r>
        <w:rPr>
          <w:rFonts w:hint="eastAsia"/>
          <w:color w:val="auto"/>
          <w:sz w:val="24"/>
          <w:szCs w:val="24"/>
          <w:highlight w:val="none"/>
        </w:rPr>
        <w:t>响应文件中资格审查</w:t>
      </w:r>
      <w:r>
        <w:rPr>
          <w:rFonts w:hint="eastAsia" w:ascii="宋体" w:hAnsi="宋体" w:cs="宋体"/>
          <w:color w:val="auto"/>
          <w:sz w:val="24"/>
          <w:szCs w:val="24"/>
          <w:highlight w:val="none"/>
        </w:rPr>
        <w:t>文件及技术响应文件出现磋商报价的内容；</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cs="宋体"/>
          <w:color w:val="auto"/>
          <w:sz w:val="24"/>
          <w:szCs w:val="24"/>
          <w:highlight w:val="none"/>
        </w:rPr>
        <w:t>不具备磋商文件规定的资格要求的；</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eastAsia="zh-CN"/>
        </w:rPr>
        <w:t>5.</w:t>
      </w:r>
      <w:r>
        <w:rPr>
          <w:rFonts w:hint="eastAsia" w:ascii="宋体" w:hAnsi="宋体" w:cs="宋体"/>
          <w:color w:val="auto"/>
          <w:sz w:val="24"/>
          <w:szCs w:val="24"/>
          <w:highlight w:val="none"/>
        </w:rPr>
        <w:t>响应文件有重大漏项或重大不合理的；</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eastAsia="zh-CN"/>
        </w:rPr>
        <w:t>6.</w:t>
      </w:r>
      <w:r>
        <w:rPr>
          <w:rFonts w:hint="eastAsia" w:ascii="宋体" w:hAnsi="宋体" w:cs="宋体"/>
          <w:color w:val="auto"/>
          <w:sz w:val="24"/>
          <w:szCs w:val="24"/>
          <w:highlight w:val="none"/>
        </w:rPr>
        <w:t>项目技术、方案不满足项目需求中的要求，有重大偏离或保留的；</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eastAsia="zh-CN"/>
        </w:rPr>
        <w:t>7.</w:t>
      </w:r>
      <w:r>
        <w:rPr>
          <w:rFonts w:hint="eastAsia" w:ascii="宋体" w:hAnsi="宋体" w:cs="宋体"/>
          <w:color w:val="auto"/>
          <w:sz w:val="24"/>
          <w:szCs w:val="24"/>
          <w:highlight w:val="none"/>
        </w:rPr>
        <w:t>磋商响应报价超出项目预算的；</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eastAsia="zh-CN"/>
        </w:rPr>
        <w:t>8.</w:t>
      </w:r>
      <w:r>
        <w:rPr>
          <w:rFonts w:hint="eastAsia" w:ascii="宋体" w:hAnsi="宋体" w:cs="宋体"/>
          <w:color w:val="auto"/>
          <w:sz w:val="24"/>
          <w:szCs w:val="24"/>
          <w:highlight w:val="none"/>
        </w:rPr>
        <w:t>被认定为低于成本报价磋商竞标的；</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eastAsia="zh-CN"/>
        </w:rPr>
        <w:t>9.</w:t>
      </w:r>
      <w:r>
        <w:rPr>
          <w:rFonts w:hint="eastAsia" w:ascii="宋体" w:hAnsi="宋体" w:cs="宋体"/>
          <w:color w:val="auto"/>
          <w:sz w:val="24"/>
          <w:szCs w:val="24"/>
          <w:highlight w:val="none"/>
        </w:rPr>
        <w:t>供应商的磋商报价高于自己前一轮的；</w:t>
      </w:r>
    </w:p>
    <w:p>
      <w:pPr>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lang w:eastAsia="zh-CN"/>
        </w:rPr>
        <w:t>0.</w:t>
      </w:r>
      <w:r>
        <w:rPr>
          <w:rFonts w:hint="eastAsia" w:ascii="宋体" w:hAnsi="宋体" w:cs="宋体"/>
          <w:color w:val="auto"/>
          <w:sz w:val="24"/>
          <w:szCs w:val="24"/>
          <w:highlight w:val="none"/>
        </w:rPr>
        <w:t>不符合法律、法规和磋商文件中规定的其他实质性响应要求的；</w:t>
      </w:r>
    </w:p>
    <w:p>
      <w:pPr>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lang w:eastAsia="zh-CN"/>
        </w:rPr>
        <w:t>1.</w:t>
      </w:r>
      <w:r>
        <w:rPr>
          <w:rFonts w:hint="eastAsia" w:ascii="宋体" w:hAnsi="宋体" w:cs="宋体"/>
          <w:color w:val="auto"/>
          <w:sz w:val="24"/>
          <w:szCs w:val="24"/>
          <w:highlight w:val="none"/>
        </w:rPr>
        <w:t>磋商小组依据法律法规可以认定为无效投标的其他情况。</w:t>
      </w:r>
    </w:p>
    <w:p>
      <w:pPr>
        <w:snapToGrid w:val="0"/>
        <w:spacing w:line="480" w:lineRule="exact"/>
        <w:ind w:firstLine="482" w:firstLineChars="200"/>
        <w:outlineLvl w:val="1"/>
        <w:rPr>
          <w:rFonts w:ascii="宋体" w:cs="宋体"/>
          <w:b/>
          <w:color w:val="auto"/>
          <w:sz w:val="24"/>
          <w:szCs w:val="24"/>
          <w:highlight w:val="none"/>
        </w:rPr>
      </w:pPr>
      <w:r>
        <w:rPr>
          <w:rFonts w:hint="eastAsia" w:ascii="宋体" w:hAnsi="宋体" w:cs="宋体"/>
          <w:b/>
          <w:color w:val="auto"/>
          <w:sz w:val="24"/>
          <w:szCs w:val="24"/>
          <w:highlight w:val="none"/>
        </w:rPr>
        <w:t>七、出现下列情形之一的，作废标处理</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cs="宋体"/>
          <w:color w:val="auto"/>
          <w:sz w:val="24"/>
          <w:szCs w:val="24"/>
          <w:highlight w:val="none"/>
        </w:rPr>
        <w:t>供应商的报价均超出了采购预算，采购单位不能支付的；</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cs="宋体"/>
          <w:color w:val="auto"/>
          <w:sz w:val="24"/>
          <w:szCs w:val="24"/>
          <w:highlight w:val="none"/>
        </w:rPr>
        <w:t>因情况变化，不再符合规定的竞争性磋商采购方式所适用情形的；</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cs="宋体"/>
          <w:color w:val="auto"/>
          <w:sz w:val="24"/>
          <w:szCs w:val="24"/>
          <w:highlight w:val="none"/>
        </w:rPr>
        <w:t>出现影响采购公正的违法、违规行为的；</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cs="宋体"/>
          <w:color w:val="auto"/>
          <w:sz w:val="24"/>
          <w:szCs w:val="24"/>
          <w:highlight w:val="none"/>
        </w:rPr>
        <w:t>因重大变故，采购任务取消的；</w:t>
      </w:r>
    </w:p>
    <w:p>
      <w:pPr>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eastAsia="zh-CN"/>
        </w:rPr>
        <w:t>5.</w:t>
      </w:r>
      <w:r>
        <w:rPr>
          <w:rFonts w:hint="eastAsia" w:ascii="宋体" w:hAnsi="宋体" w:cs="宋体"/>
          <w:color w:val="auto"/>
          <w:sz w:val="24"/>
          <w:szCs w:val="24"/>
          <w:highlight w:val="none"/>
        </w:rPr>
        <w:t>磋商小组依据法律法规可以认定为废标的其他情况。</w:t>
      </w:r>
    </w:p>
    <w:p>
      <w:pPr>
        <w:snapToGrid w:val="0"/>
        <w:spacing w:line="480" w:lineRule="exact"/>
        <w:ind w:firstLine="482" w:firstLineChars="200"/>
        <w:outlineLvl w:val="1"/>
        <w:rPr>
          <w:rFonts w:ascii="宋体" w:cs="宋体"/>
          <w:b/>
          <w:color w:val="auto"/>
          <w:sz w:val="24"/>
          <w:szCs w:val="24"/>
          <w:highlight w:val="none"/>
        </w:rPr>
      </w:pPr>
      <w:r>
        <w:rPr>
          <w:rFonts w:hint="eastAsia" w:ascii="宋体" w:hAnsi="宋体" w:cs="宋体"/>
          <w:b/>
          <w:color w:val="auto"/>
          <w:sz w:val="24"/>
          <w:szCs w:val="24"/>
          <w:highlight w:val="none"/>
        </w:rPr>
        <w:t>八、成交通知</w:t>
      </w:r>
    </w:p>
    <w:p>
      <w:pPr>
        <w:spacing w:line="480" w:lineRule="exact"/>
        <w:ind w:firstLine="480" w:firstLineChars="200"/>
        <w:rPr>
          <w:rFonts w:ascii="宋体" w:cs="宋体"/>
          <w:color w:val="auto"/>
          <w:kern w:val="0"/>
          <w:sz w:val="24"/>
          <w:szCs w:val="24"/>
          <w:highlight w:val="none"/>
        </w:rPr>
      </w:pPr>
      <w:r>
        <w:rPr>
          <w:rFonts w:hint="eastAsia"/>
          <w:color w:val="auto"/>
          <w:kern w:val="0"/>
          <w:sz w:val="24"/>
          <w:szCs w:val="24"/>
          <w:highlight w:val="none"/>
        </w:rPr>
        <w:t>成交结果在</w:t>
      </w:r>
      <w:r>
        <w:rPr>
          <w:rFonts w:hint="eastAsia" w:ascii="宋体" w:hAnsi="宋体" w:cs="宋体"/>
          <w:color w:val="auto"/>
          <w:sz w:val="24"/>
          <w:szCs w:val="24"/>
          <w:highlight w:val="none"/>
        </w:rPr>
        <w:t>南通市</w:t>
      </w:r>
      <w:r>
        <w:rPr>
          <w:rFonts w:hint="eastAsia" w:ascii="宋体" w:hAnsi="宋体" w:cs="宋体"/>
          <w:color w:val="auto"/>
          <w:sz w:val="24"/>
          <w:szCs w:val="24"/>
          <w:highlight w:val="none"/>
          <w:lang w:eastAsia="zh-CN"/>
        </w:rPr>
        <w:t>南通市第三人民医院官网</w:t>
      </w:r>
      <w:r>
        <w:rPr>
          <w:rFonts w:hint="eastAsia"/>
          <w:color w:val="auto"/>
          <w:kern w:val="0"/>
          <w:sz w:val="24"/>
          <w:szCs w:val="24"/>
          <w:highlight w:val="none"/>
        </w:rPr>
        <w:t>公示</w:t>
      </w:r>
      <w:r>
        <w:rPr>
          <w:rFonts w:hint="eastAsia"/>
          <w:color w:val="auto"/>
          <w:kern w:val="0"/>
          <w:sz w:val="24"/>
          <w:szCs w:val="24"/>
          <w:highlight w:val="none"/>
          <w:lang w:val="en-US" w:eastAsia="zh-CN"/>
        </w:rPr>
        <w:t>1</w:t>
      </w:r>
      <w:r>
        <w:rPr>
          <w:rFonts w:hint="eastAsia"/>
          <w:color w:val="auto"/>
          <w:kern w:val="0"/>
          <w:sz w:val="24"/>
          <w:szCs w:val="24"/>
          <w:highlight w:val="none"/>
        </w:rPr>
        <w:t>个工作日。《成交通知书》一经发出，采购单位改变成交结果，或者成交供应商放弃成交的，各自承担相应的法律责任。《成交通知书》是采购合同的组成部分。</w:t>
      </w:r>
    </w:p>
    <w:bookmarkEnd w:id="62"/>
    <w:bookmarkEnd w:id="63"/>
    <w:bookmarkEnd w:id="64"/>
    <w:bookmarkEnd w:id="65"/>
    <w:bookmarkEnd w:id="66"/>
    <w:bookmarkEnd w:id="67"/>
    <w:bookmarkEnd w:id="68"/>
    <w:bookmarkEnd w:id="69"/>
    <w:p>
      <w:pPr>
        <w:pStyle w:val="25"/>
        <w:tabs>
          <w:tab w:val="left" w:pos="1050"/>
          <w:tab w:val="right" w:leader="dot" w:pos="9402"/>
        </w:tabs>
        <w:spacing w:line="520" w:lineRule="exact"/>
        <w:ind w:left="0"/>
        <w:jc w:val="center"/>
        <w:outlineLvl w:val="0"/>
        <w:rPr>
          <w:rFonts w:ascii="宋体" w:cs="宋体"/>
          <w:b/>
          <w:i w:val="0"/>
          <w:color w:val="auto"/>
          <w:w w:val="80"/>
          <w:sz w:val="44"/>
          <w:szCs w:val="44"/>
          <w:highlight w:val="none"/>
        </w:rPr>
      </w:pPr>
      <w:bookmarkStart w:id="71" w:name="_Toc94585343"/>
      <w:bookmarkStart w:id="72" w:name="_Toc363573858"/>
      <w:r>
        <w:rPr>
          <w:rFonts w:ascii="宋体" w:cs="宋体"/>
          <w:color w:val="auto"/>
          <w:w w:val="80"/>
          <w:sz w:val="24"/>
          <w:szCs w:val="24"/>
          <w:highlight w:val="none"/>
        </w:rPr>
        <w:br w:type="page"/>
      </w:r>
      <w:r>
        <w:rPr>
          <w:rFonts w:hint="eastAsia" w:ascii="宋体" w:hAnsi="宋体" w:cs="宋体"/>
          <w:b/>
          <w:i w:val="0"/>
          <w:color w:val="auto"/>
          <w:w w:val="80"/>
          <w:sz w:val="44"/>
          <w:szCs w:val="44"/>
          <w:highlight w:val="none"/>
        </w:rPr>
        <w:t>第</w:t>
      </w:r>
      <w:r>
        <w:rPr>
          <w:rFonts w:hint="eastAsia" w:ascii="宋体" w:hAnsi="宋体" w:cs="宋体"/>
          <w:b/>
          <w:i w:val="0"/>
          <w:color w:val="auto"/>
          <w:w w:val="80"/>
          <w:sz w:val="44"/>
          <w:szCs w:val="44"/>
          <w:highlight w:val="none"/>
          <w:lang w:val="en-US" w:eastAsia="zh-CN"/>
        </w:rPr>
        <w:t>五</w:t>
      </w:r>
      <w:r>
        <w:rPr>
          <w:rFonts w:hint="eastAsia" w:ascii="宋体" w:hAnsi="宋体" w:cs="宋体"/>
          <w:b/>
          <w:i w:val="0"/>
          <w:color w:val="auto"/>
          <w:w w:val="80"/>
          <w:sz w:val="44"/>
          <w:szCs w:val="44"/>
          <w:highlight w:val="none"/>
        </w:rPr>
        <w:t>章</w:t>
      </w:r>
      <w:r>
        <w:rPr>
          <w:rFonts w:ascii="宋体" w:hAnsi="宋体" w:cs="宋体"/>
          <w:b/>
          <w:i w:val="0"/>
          <w:color w:val="auto"/>
          <w:w w:val="80"/>
          <w:sz w:val="44"/>
          <w:szCs w:val="44"/>
          <w:highlight w:val="none"/>
        </w:rPr>
        <w:t xml:space="preserve">   </w:t>
      </w:r>
      <w:r>
        <w:rPr>
          <w:rFonts w:hint="eastAsia" w:ascii="宋体" w:hAnsi="宋体" w:cs="宋体"/>
          <w:b/>
          <w:i w:val="0"/>
          <w:color w:val="auto"/>
          <w:w w:val="80"/>
          <w:sz w:val="44"/>
          <w:szCs w:val="44"/>
          <w:highlight w:val="none"/>
        </w:rPr>
        <w:t>合同授予</w:t>
      </w:r>
    </w:p>
    <w:p>
      <w:pPr>
        <w:spacing w:line="520" w:lineRule="exact"/>
        <w:ind w:firstLine="484" w:firstLineChars="202"/>
        <w:rPr>
          <w:rFonts w:ascii="宋体" w:cs="宋体"/>
          <w:color w:val="auto"/>
          <w:kern w:val="0"/>
          <w:sz w:val="24"/>
          <w:szCs w:val="24"/>
          <w:highlight w:val="none"/>
        </w:rPr>
      </w:pPr>
      <w:r>
        <w:rPr>
          <w:rFonts w:hint="eastAsia" w:ascii="宋体" w:hAnsi="宋体" w:cs="宋体"/>
          <w:color w:val="auto"/>
          <w:sz w:val="24"/>
          <w:szCs w:val="24"/>
          <w:highlight w:val="none"/>
        </w:rPr>
        <w:t>一、成交供应商在《成交通知书》发出后</w:t>
      </w:r>
      <w:r>
        <w:rPr>
          <w:rFonts w:hint="eastAsia" w:ascii="宋体" w:hAnsi="宋体" w:cs="宋体"/>
          <w:color w:val="auto"/>
          <w:sz w:val="24"/>
          <w:szCs w:val="24"/>
          <w:highlight w:val="none"/>
          <w:lang w:val="en-US" w:eastAsia="zh-CN"/>
        </w:rPr>
        <w:t>15</w:t>
      </w:r>
      <w:r>
        <w:rPr>
          <w:rFonts w:hint="eastAsia" w:ascii="宋体" w:hAnsi="宋体" w:cs="宋体"/>
          <w:color w:val="auto"/>
          <w:sz w:val="24"/>
          <w:szCs w:val="24"/>
          <w:highlight w:val="none"/>
        </w:rPr>
        <w:t>日内必须按照磋商文件确定的事项签订采购合同。合同一式肆份，采购人，供应商</w:t>
      </w:r>
      <w:r>
        <w:rPr>
          <w:rFonts w:hint="eastAsia" w:ascii="宋体" w:hAnsi="宋体"/>
          <w:color w:val="auto"/>
          <w:sz w:val="24"/>
          <w:szCs w:val="24"/>
          <w:highlight w:val="none"/>
        </w:rPr>
        <w:t>各两份</w:t>
      </w:r>
      <w:r>
        <w:rPr>
          <w:rFonts w:hint="eastAsia" w:ascii="宋体" w:hAnsi="宋体" w:cs="宋体"/>
          <w:color w:val="auto"/>
          <w:kern w:val="0"/>
          <w:sz w:val="24"/>
          <w:szCs w:val="24"/>
          <w:highlight w:val="none"/>
        </w:rPr>
        <w:t>。所签合同不得对磋商文件作实质性修改。采购单位不得向成交供应商提出不合理的要求作为签订合同的条件，不得与成交供应商私下订立背离磋商文件实质性内容的协议。</w:t>
      </w:r>
      <w:r>
        <w:rPr>
          <w:rFonts w:ascii="宋体" w:hAnsi="宋体" w:cs="宋体"/>
          <w:color w:val="auto"/>
          <w:kern w:val="0"/>
          <w:sz w:val="24"/>
          <w:szCs w:val="24"/>
          <w:highlight w:val="none"/>
        </w:rPr>
        <w:t xml:space="preserve"> </w:t>
      </w:r>
    </w:p>
    <w:p>
      <w:pPr>
        <w:snapToGrid w:val="0"/>
        <w:spacing w:line="480" w:lineRule="exact"/>
        <w:ind w:firstLine="573"/>
        <w:rPr>
          <w:rFonts w:asci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二、采购单位按合同约定积极配合成交供应商履约，成交供应商履约到位后，请以书面形式向采购单位提出验收申请，采购单位接到申请后原则上在</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个工作日内及时组织相关专业技术人员，必要时邀请质检等部门共同参与验收，并出具验收报告，验收合格的原则上</w:t>
      </w:r>
      <w:r>
        <w:rPr>
          <w:rFonts w:ascii="宋体" w:hAnsi="宋体" w:cs="宋体"/>
          <w:color w:val="auto"/>
          <w:sz w:val="24"/>
          <w:szCs w:val="24"/>
          <w:highlight w:val="none"/>
        </w:rPr>
        <w:t>5</w:t>
      </w:r>
      <w:r>
        <w:rPr>
          <w:rFonts w:hint="eastAsia" w:ascii="宋体" w:hAnsi="宋体" w:cs="宋体"/>
          <w:color w:val="auto"/>
          <w:sz w:val="24"/>
          <w:szCs w:val="24"/>
          <w:highlight w:val="none"/>
        </w:rPr>
        <w:t>个工作日内支付相应款项。</w:t>
      </w:r>
    </w:p>
    <w:p>
      <w:pPr>
        <w:snapToGrid w:val="0"/>
        <w:spacing w:line="480" w:lineRule="exact"/>
        <w:ind w:firstLine="573"/>
        <w:rPr>
          <w:rFonts w:ascii="宋体" w:cs="宋体"/>
          <w:color w:val="auto"/>
          <w:sz w:val="24"/>
          <w:szCs w:val="24"/>
          <w:highlight w:val="none"/>
        </w:rPr>
      </w:pPr>
      <w:r>
        <w:rPr>
          <w:rFonts w:hint="eastAsia" w:ascii="宋体" w:hAnsi="宋体" w:cs="宋体"/>
          <w:color w:val="auto"/>
          <w:sz w:val="24"/>
          <w:szCs w:val="24"/>
          <w:highlight w:val="none"/>
        </w:rPr>
        <w:t>三、采购单位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snapToGrid w:val="0"/>
        <w:spacing w:line="480" w:lineRule="exact"/>
        <w:ind w:firstLine="573"/>
        <w:rPr>
          <w:rFonts w:ascii="宋体" w:cs="宋体"/>
          <w:color w:val="auto"/>
          <w:sz w:val="24"/>
          <w:szCs w:val="24"/>
          <w:highlight w:val="none"/>
        </w:rPr>
      </w:pPr>
      <w:r>
        <w:rPr>
          <w:rFonts w:hint="eastAsia" w:ascii="宋体" w:hAnsi="宋体" w:cs="宋体"/>
          <w:color w:val="auto"/>
          <w:sz w:val="24"/>
          <w:szCs w:val="24"/>
          <w:highlight w:val="none"/>
        </w:rPr>
        <w:t>四、成交供应商出现违约情形，应当及时纠正或补偿；造成损失的，按合同约定追究违约责任；发现有假冒、伪劣、走私产品、商业贿赂等违法情形的，应由采购单位移交工商、质监、公安等行政执法部门依法查处。</w:t>
      </w:r>
    </w:p>
    <w:p>
      <w:pPr>
        <w:snapToGrid w:val="0"/>
        <w:spacing w:line="480" w:lineRule="exact"/>
        <w:ind w:firstLine="573"/>
        <w:rPr>
          <w:rFonts w:ascii="宋体" w:cs="宋体"/>
          <w:color w:val="auto"/>
          <w:sz w:val="24"/>
          <w:szCs w:val="24"/>
          <w:highlight w:val="none"/>
        </w:rPr>
      </w:pPr>
      <w:r>
        <w:rPr>
          <w:rFonts w:hint="eastAsia" w:ascii="宋体" w:hAnsi="宋体" w:cs="宋体"/>
          <w:color w:val="auto"/>
          <w:sz w:val="24"/>
          <w:szCs w:val="24"/>
          <w:highlight w:val="none"/>
        </w:rPr>
        <w:t>五、按采购合同约定支付的货款。</w:t>
      </w:r>
    </w:p>
    <w:p>
      <w:pPr>
        <w:snapToGrid w:val="0"/>
        <w:spacing w:line="480" w:lineRule="exact"/>
        <w:ind w:firstLine="573"/>
        <w:rPr>
          <w:rFonts w:ascii="宋体" w:cs="宋体"/>
          <w:color w:val="auto"/>
          <w:sz w:val="24"/>
          <w:szCs w:val="24"/>
          <w:highlight w:val="none"/>
        </w:rPr>
      </w:pPr>
      <w:r>
        <w:rPr>
          <w:rFonts w:hint="eastAsia" w:ascii="宋体" w:hAnsi="宋体" w:cs="宋体"/>
          <w:color w:val="auto"/>
          <w:sz w:val="24"/>
          <w:szCs w:val="24"/>
          <w:highlight w:val="none"/>
        </w:rPr>
        <w:t>六、不响应付款方式的，视同响应文件无效，按无效响应文件处理。</w:t>
      </w:r>
    </w:p>
    <w:p>
      <w:pPr>
        <w:snapToGrid w:val="0"/>
        <w:spacing w:line="480" w:lineRule="exact"/>
        <w:ind w:firstLine="573"/>
        <w:rPr>
          <w:rFonts w:ascii="宋体" w:cs="宋体"/>
          <w:color w:val="auto"/>
          <w:sz w:val="24"/>
          <w:szCs w:val="24"/>
          <w:highlight w:val="none"/>
        </w:rPr>
      </w:pPr>
      <w:r>
        <w:rPr>
          <w:rFonts w:hint="eastAsia" w:ascii="宋体" w:hAnsi="宋体" w:cs="宋体"/>
          <w:color w:val="auto"/>
          <w:sz w:val="24"/>
          <w:szCs w:val="24"/>
          <w:highlight w:val="none"/>
        </w:rPr>
        <w:t>七、付款方式详见磋商文件第五章。</w:t>
      </w:r>
    </w:p>
    <w:p>
      <w:pPr>
        <w:snapToGrid w:val="0"/>
        <w:spacing w:line="480" w:lineRule="exact"/>
        <w:ind w:firstLine="573"/>
        <w:rPr>
          <w:rFonts w:ascii="宋体" w:cs="宋体"/>
          <w:color w:val="auto"/>
          <w:sz w:val="24"/>
          <w:szCs w:val="24"/>
          <w:highlight w:val="none"/>
        </w:rPr>
      </w:pPr>
      <w:r>
        <w:rPr>
          <w:rFonts w:hint="eastAsia" w:ascii="宋体" w:hAnsi="宋体" w:cs="宋体"/>
          <w:color w:val="auto"/>
          <w:sz w:val="24"/>
          <w:szCs w:val="24"/>
          <w:highlight w:val="none"/>
        </w:rPr>
        <w:t>八、以上项目款的支付不计息。</w:t>
      </w:r>
    </w:p>
    <w:p>
      <w:pPr>
        <w:pStyle w:val="5"/>
        <w:keepNext w:val="0"/>
        <w:keepLines w:val="0"/>
        <w:snapToGrid w:val="0"/>
        <w:spacing w:before="0" w:after="0" w:line="360" w:lineRule="auto"/>
        <w:jc w:val="center"/>
        <w:rPr>
          <w:rFonts w:ascii="宋体" w:cs="宋体"/>
          <w:b w:val="0"/>
          <w:color w:val="auto"/>
          <w:sz w:val="24"/>
          <w:szCs w:val="24"/>
          <w:highlight w:val="none"/>
        </w:rPr>
      </w:pPr>
      <w:r>
        <w:rPr>
          <w:rFonts w:ascii="宋体" w:cs="宋体"/>
          <w:b w:val="0"/>
          <w:i/>
          <w:color w:val="auto"/>
          <w:sz w:val="24"/>
          <w:szCs w:val="24"/>
          <w:highlight w:val="none"/>
        </w:rPr>
        <w:br w:type="page"/>
      </w:r>
      <w:r>
        <w:rPr>
          <w:rFonts w:hint="eastAsia" w:ascii="宋体" w:hAnsi="宋体" w:cs="宋体"/>
          <w:color w:val="auto"/>
          <w:w w:val="80"/>
          <w:kern w:val="2"/>
          <w:szCs w:val="44"/>
          <w:highlight w:val="none"/>
        </w:rPr>
        <w:t>第</w:t>
      </w:r>
      <w:r>
        <w:rPr>
          <w:rFonts w:hint="eastAsia" w:ascii="宋体" w:hAnsi="宋体" w:cs="宋体"/>
          <w:color w:val="auto"/>
          <w:w w:val="80"/>
          <w:kern w:val="2"/>
          <w:szCs w:val="44"/>
          <w:highlight w:val="none"/>
          <w:lang w:val="en-US" w:eastAsia="zh-CN"/>
        </w:rPr>
        <w:t>六</w:t>
      </w:r>
      <w:r>
        <w:rPr>
          <w:rFonts w:hint="eastAsia" w:ascii="宋体" w:hAnsi="宋体" w:cs="宋体"/>
          <w:color w:val="auto"/>
          <w:w w:val="80"/>
          <w:kern w:val="2"/>
          <w:szCs w:val="44"/>
          <w:highlight w:val="none"/>
        </w:rPr>
        <w:t>章</w:t>
      </w:r>
      <w:r>
        <w:rPr>
          <w:rFonts w:ascii="宋体" w:hAnsi="宋体" w:cs="宋体"/>
          <w:color w:val="auto"/>
          <w:w w:val="80"/>
          <w:kern w:val="2"/>
          <w:szCs w:val="44"/>
          <w:highlight w:val="none"/>
        </w:rPr>
        <w:t xml:space="preserve"> </w:t>
      </w:r>
      <w:r>
        <w:rPr>
          <w:rFonts w:hint="eastAsia" w:ascii="宋体" w:hAnsi="宋体" w:cs="宋体"/>
          <w:color w:val="auto"/>
          <w:w w:val="80"/>
          <w:kern w:val="2"/>
          <w:szCs w:val="44"/>
          <w:highlight w:val="none"/>
        </w:rPr>
        <w:t>质疑提出和处理</w:t>
      </w:r>
    </w:p>
    <w:p>
      <w:pPr>
        <w:adjustRightInd w:val="0"/>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一、质疑的提出</w:t>
      </w:r>
    </w:p>
    <w:p>
      <w:pPr>
        <w:adjustRightInd w:val="0"/>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cs="宋体"/>
          <w:color w:val="auto"/>
          <w:sz w:val="24"/>
          <w:szCs w:val="24"/>
          <w:highlight w:val="none"/>
        </w:rPr>
        <w:t>质疑人必须是直接参加本次磋商活动的当事人。</w:t>
      </w:r>
    </w:p>
    <w:p>
      <w:pPr>
        <w:adjustRightInd w:val="0"/>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cs="宋体"/>
          <w:color w:val="auto"/>
          <w:sz w:val="24"/>
          <w:szCs w:val="24"/>
          <w:highlight w:val="none"/>
        </w:rPr>
        <w:t>下载磋商文件的供应商应根据第二章“磋商供应商须知”中第一条第</w:t>
      </w:r>
      <w:r>
        <w:rPr>
          <w:rFonts w:ascii="宋体" w:hAnsi="宋体" w:cs="宋体"/>
          <w:color w:val="auto"/>
          <w:sz w:val="24"/>
          <w:szCs w:val="24"/>
          <w:highlight w:val="none"/>
        </w:rPr>
        <w:t>4</w:t>
      </w:r>
      <w:r>
        <w:rPr>
          <w:rFonts w:hint="eastAsia" w:ascii="宋体" w:hAnsi="宋体" w:cs="宋体"/>
          <w:color w:val="auto"/>
          <w:sz w:val="24"/>
          <w:szCs w:val="24"/>
          <w:highlight w:val="none"/>
        </w:rPr>
        <w:t>款的约定提出；响应文件接收截止后，供应商未进行磋商登记的，不能就响应文件接收截止后的招投标过程、成交结果提出质疑；在磋商过程中，凡主持人或评审小组明确提出须由供应商确认的事项，供应商当场无异议的，事后不得提出质疑。</w:t>
      </w:r>
    </w:p>
    <w:p>
      <w:pPr>
        <w:adjustRightInd w:val="0"/>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cs="宋体"/>
          <w:color w:val="auto"/>
          <w:sz w:val="24"/>
          <w:szCs w:val="24"/>
          <w:highlight w:val="none"/>
        </w:rPr>
        <w:t>提出质疑时，必须坚持“谁主张，谁举证”“实事求是”的原则，不能臆测。属于须由法定部门调查、侦查或先行作出相关认定的事项，质疑人应当依法申请具有法定职权的部门查清、认定，并将相关结果提供给采购单位或采购代理机构。采购单位或采购代理机构不具有法定调查、认定权限。</w:t>
      </w:r>
    </w:p>
    <w:p>
      <w:pPr>
        <w:adjustRightInd w:val="0"/>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cs="宋体"/>
          <w:color w:val="auto"/>
          <w:sz w:val="24"/>
          <w:szCs w:val="24"/>
          <w:highlight w:val="none"/>
        </w:rPr>
        <w:t>对本次招标有质疑的，实行实名制，不得进行虚假、恶意质疑。质疑人应在质疑有效期内以书面形式提出《质疑函》（格式请下载），《质疑函》内容应包括质疑事项、主要内容、事实依据、适应法规条款、佐证材料等。同时，质疑人应保证其提出的质疑内容及相关佐证材料的真实性及来源的合法性，并承担相应的法律责任。</w:t>
      </w:r>
    </w:p>
    <w:p>
      <w:pPr>
        <w:adjustRightInd w:val="0"/>
        <w:snapToGrid w:val="0"/>
        <w:spacing w:line="480" w:lineRule="exact"/>
        <w:ind w:firstLine="600" w:firstLineChars="250"/>
        <w:rPr>
          <w:rFonts w:ascii="宋体" w:cs="宋体"/>
          <w:color w:val="auto"/>
          <w:sz w:val="24"/>
          <w:szCs w:val="24"/>
          <w:highlight w:val="none"/>
        </w:rPr>
      </w:pPr>
      <w:r>
        <w:rPr>
          <w:rFonts w:hint="eastAsia" w:ascii="宋体" w:hAnsi="宋体" w:cs="宋体"/>
          <w:color w:val="auto"/>
          <w:sz w:val="24"/>
          <w:szCs w:val="24"/>
          <w:highlight w:val="none"/>
        </w:rPr>
        <w:t>对不能提供相关佐证材料的、涉及商业秘密的、非书面形式的、非送达的、匿名的《质疑函》将不予受理。</w:t>
      </w:r>
    </w:p>
    <w:p>
      <w:pPr>
        <w:adjustRightInd w:val="0"/>
        <w:snapToGrid w:val="0"/>
        <w:spacing w:line="480" w:lineRule="exact"/>
        <w:ind w:firstLine="600" w:firstLineChars="250"/>
        <w:rPr>
          <w:rFonts w:ascii="宋体" w:cs="宋体"/>
          <w:color w:val="auto"/>
          <w:sz w:val="24"/>
          <w:szCs w:val="24"/>
          <w:highlight w:val="none"/>
        </w:rPr>
      </w:pPr>
      <w:r>
        <w:rPr>
          <w:rFonts w:hint="eastAsia" w:ascii="宋体" w:hAnsi="宋体" w:cs="宋体"/>
          <w:color w:val="auto"/>
          <w:sz w:val="24"/>
          <w:szCs w:val="24"/>
          <w:highlight w:val="none"/>
        </w:rPr>
        <w:t>相关佐证材料要具备客观性、关联性、合法性，无法查实的（如宣传册、媒体报道、猜测、推理等）不能作为佐证材料。</w:t>
      </w:r>
    </w:p>
    <w:p>
      <w:pPr>
        <w:adjustRightInd w:val="0"/>
        <w:snapToGrid w:val="0"/>
        <w:spacing w:line="480" w:lineRule="exact"/>
        <w:ind w:firstLine="600" w:firstLineChars="250"/>
        <w:rPr>
          <w:rFonts w:ascii="宋体" w:cs="宋体"/>
          <w:color w:val="auto"/>
          <w:sz w:val="24"/>
          <w:szCs w:val="24"/>
          <w:highlight w:val="none"/>
        </w:rPr>
      </w:pPr>
      <w:r>
        <w:rPr>
          <w:rFonts w:hint="eastAsia" w:ascii="宋体" w:hAnsi="宋体" w:cs="宋体"/>
          <w:color w:val="auto"/>
          <w:sz w:val="24"/>
          <w:szCs w:val="24"/>
          <w:highlight w:val="none"/>
        </w:rPr>
        <w:t>采购单位或采购代理机构不负责搜集相关佐证材料等工作。</w:t>
      </w:r>
    </w:p>
    <w:p>
      <w:pPr>
        <w:adjustRightInd w:val="0"/>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二、《质疑函》的受理和回复</w:t>
      </w:r>
    </w:p>
    <w:p>
      <w:pPr>
        <w:adjustRightInd w:val="0"/>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cs="宋体"/>
          <w:color w:val="auto"/>
          <w:sz w:val="24"/>
          <w:szCs w:val="24"/>
          <w:highlight w:val="none"/>
        </w:rPr>
        <w:t>《质疑函》须由质疑人的法定代表人或参加本次磋商被授权人送达采购单位和采购代理机构。</w:t>
      </w:r>
    </w:p>
    <w:p>
      <w:pPr>
        <w:adjustRightInd w:val="0"/>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cs="宋体"/>
          <w:color w:val="auto"/>
          <w:sz w:val="24"/>
          <w:szCs w:val="24"/>
          <w:highlight w:val="none"/>
        </w:rPr>
        <w:t>对符合提出质疑要求的，采购单位、采购代理机构签收并出具《质疑受理通知书》。在处理过程中，发现需要质疑人进一步补充相关佐证材料的，请质疑人在规定的时间内提供，质疑回复时间相应顺延。质疑人不能按时提供相关佐证材料的，视同放弃质疑。</w:t>
      </w:r>
    </w:p>
    <w:p>
      <w:pPr>
        <w:adjustRightInd w:val="0"/>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cs="宋体"/>
          <w:color w:val="auto"/>
          <w:sz w:val="24"/>
          <w:szCs w:val="24"/>
          <w:highlight w:val="none"/>
        </w:rPr>
        <w:t>对不符合提出质疑要求的，出具《质疑退回通知书》并提出相关补充材料要求，质疑人未在规定的时间内提供补充佐证材料的，视同放弃质疑。</w:t>
      </w:r>
    </w:p>
    <w:p>
      <w:pPr>
        <w:adjustRightInd w:val="0"/>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cs="宋体"/>
          <w:color w:val="auto"/>
          <w:sz w:val="24"/>
          <w:szCs w:val="24"/>
          <w:highlight w:val="none"/>
        </w:rPr>
        <w:t>采购单位、采购代理机构负责将质疑人提出的质疑相关材料提供给相关专家或评审小组审核，并将审核意见回复质疑人。</w:t>
      </w:r>
    </w:p>
    <w:p>
      <w:pPr>
        <w:adjustRightInd w:val="0"/>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必要时，可向被质疑人转发《质疑函》及相关佐证材料。被质疑人应当在要求的时间日内，以书面形式作出说明，并提交相关证据。被质疑人在规定时间内，无正当理由未提交相关证据的，视同放弃说明权利，认可被质疑事项。</w:t>
      </w:r>
    </w:p>
    <w:p>
      <w:pPr>
        <w:adjustRightInd w:val="0"/>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eastAsia="zh-CN"/>
        </w:rPr>
        <w:t>5.</w:t>
      </w:r>
      <w:r>
        <w:rPr>
          <w:rFonts w:hint="eastAsia" w:ascii="宋体" w:hAnsi="宋体" w:cs="宋体"/>
          <w:color w:val="auto"/>
          <w:sz w:val="24"/>
          <w:szCs w:val="24"/>
          <w:highlight w:val="none"/>
        </w:rPr>
        <w:t>因质疑情况复杂，组织论证或审查时间较长的，采购单位、采购代理机构以书面形式通知质疑人，可适当延长质疑回复处理时间。</w:t>
      </w:r>
    </w:p>
    <w:p>
      <w:pPr>
        <w:adjustRightInd w:val="0"/>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三、质疑处理</w:t>
      </w:r>
    </w:p>
    <w:p>
      <w:pPr>
        <w:adjustRightInd w:val="0"/>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cs="宋体"/>
          <w:color w:val="auto"/>
          <w:sz w:val="24"/>
          <w:szCs w:val="24"/>
          <w:highlight w:val="none"/>
        </w:rPr>
        <w:t>质疑成立的处理。采购单位或采购代理机构终止采购，并建议有关部门给相关当事人予以处理。</w:t>
      </w:r>
    </w:p>
    <w:p>
      <w:pPr>
        <w:adjustRightInd w:val="0"/>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cs="宋体"/>
          <w:color w:val="auto"/>
          <w:sz w:val="24"/>
          <w:szCs w:val="24"/>
          <w:highlight w:val="none"/>
        </w:rPr>
        <w:t>质疑不成立的处理。</w:t>
      </w:r>
    </w:p>
    <w:p>
      <w:pPr>
        <w:adjustRightInd w:val="0"/>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1</w:t>
      </w:r>
      <w:r>
        <w:rPr>
          <w:rFonts w:hint="eastAsia" w:ascii="宋体" w:hAnsi="宋体" w:cs="宋体"/>
          <w:color w:val="auto"/>
          <w:sz w:val="24"/>
          <w:szCs w:val="24"/>
          <w:highlight w:val="none"/>
        </w:rPr>
        <w:t>）质疑人书面《申请撤回质疑函》的，不作违约处理。</w:t>
      </w:r>
    </w:p>
    <w:p>
      <w:pPr>
        <w:adjustRightInd w:val="0"/>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2</w:t>
      </w:r>
      <w:r>
        <w:rPr>
          <w:rFonts w:hint="eastAsia" w:ascii="宋体" w:hAnsi="宋体" w:cs="宋体"/>
          <w:color w:val="auto"/>
          <w:sz w:val="24"/>
          <w:szCs w:val="24"/>
          <w:highlight w:val="none"/>
        </w:rPr>
        <w:t>）质疑人在规定的时间内不配合进行质疑调查处理的，按自动撤回《质疑函》处理。</w:t>
      </w:r>
    </w:p>
    <w:p>
      <w:pPr>
        <w:adjustRightInd w:val="0"/>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3</w:t>
      </w:r>
      <w:r>
        <w:rPr>
          <w:rFonts w:hint="eastAsia" w:ascii="宋体" w:hAnsi="宋体" w:cs="宋体"/>
          <w:color w:val="auto"/>
          <w:sz w:val="24"/>
          <w:szCs w:val="24"/>
          <w:highlight w:val="none"/>
        </w:rPr>
        <w:t>）质疑人不按《质疑函》格式就提出质疑的，作违约处理。同时，视情列入不良供应商名单。</w:t>
      </w:r>
    </w:p>
    <w:p>
      <w:pPr>
        <w:adjustRightInd w:val="0"/>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4</w:t>
      </w:r>
      <w:r>
        <w:rPr>
          <w:rFonts w:hint="eastAsia" w:ascii="宋体" w:hAnsi="宋体" w:cs="宋体"/>
          <w:color w:val="auto"/>
          <w:sz w:val="24"/>
          <w:szCs w:val="24"/>
          <w:highlight w:val="none"/>
        </w:rPr>
        <w:t>）质疑人虽提供了相关佐证材料，但不能证明其质疑成立的，采购单位或采购代理机构请质疑人补充相关佐证材料，仍不能证明其质疑成立的，作违约处理。并将其列入不良供应商名单。</w:t>
      </w:r>
    </w:p>
    <w:p>
      <w:pPr>
        <w:adjustRightInd w:val="0"/>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5</w:t>
      </w:r>
      <w:r>
        <w:rPr>
          <w:rFonts w:hint="eastAsia" w:ascii="宋体" w:hAnsi="宋体" w:cs="宋体"/>
          <w:color w:val="auto"/>
          <w:sz w:val="24"/>
          <w:szCs w:val="24"/>
          <w:highlight w:val="none"/>
        </w:rPr>
        <w:t>）质疑人不能提供相关佐证材料的，采购单位、采购代理机构已指出，质疑人仍然坚持提出质疑的，作违约处理。同时，列入不良供应商名单。</w:t>
      </w:r>
    </w:p>
    <w:p>
      <w:pPr>
        <w:adjustRightInd w:val="0"/>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6</w:t>
      </w:r>
      <w:r>
        <w:rPr>
          <w:rFonts w:hint="eastAsia" w:ascii="宋体" w:hAnsi="宋体" w:cs="宋体"/>
          <w:color w:val="auto"/>
          <w:sz w:val="24"/>
          <w:szCs w:val="24"/>
          <w:highlight w:val="none"/>
        </w:rPr>
        <w:t>）对明显有违事实的、经相关专家或评审小组认定无依据的、经其他供应商举证无依据的质疑，作违约处理，列入不良供应商名单；同时，对其中每一项不成立的质疑给予质疑人</w:t>
      </w:r>
      <w:r>
        <w:rPr>
          <w:rFonts w:ascii="宋体" w:hAnsi="宋体" w:cs="宋体"/>
          <w:color w:val="auto"/>
          <w:sz w:val="24"/>
          <w:szCs w:val="24"/>
          <w:highlight w:val="none"/>
        </w:rPr>
        <w:t>1</w:t>
      </w:r>
      <w:r>
        <w:rPr>
          <w:rFonts w:hint="eastAsia" w:ascii="宋体" w:hAnsi="宋体" w:cs="宋体"/>
          <w:color w:val="auto"/>
          <w:sz w:val="24"/>
          <w:szCs w:val="24"/>
          <w:highlight w:val="none"/>
        </w:rPr>
        <w:t>年内禁入本区域内的采购活动的违约处理，依次类推；视情在相关媒体予以披露。</w:t>
      </w:r>
    </w:p>
    <w:p>
      <w:pPr>
        <w:adjustRightInd w:val="0"/>
        <w:snapToGrid w:val="0"/>
        <w:spacing w:line="480" w:lineRule="exact"/>
        <w:ind w:firstLine="480" w:firstLineChars="200"/>
        <w:rPr>
          <w:rFonts w:ascii="宋体" w:cs="宋体"/>
          <w:color w:val="auto"/>
          <w:sz w:val="24"/>
          <w:szCs w:val="24"/>
          <w:highlight w:val="none"/>
        </w:rPr>
      </w:pPr>
      <w:r>
        <w:rPr>
          <w:rFonts w:ascii="宋体" w:hAnsi="宋体" w:cs="宋体"/>
          <w:color w:val="auto"/>
          <w:sz w:val="24"/>
          <w:szCs w:val="24"/>
          <w:highlight w:val="none"/>
        </w:rPr>
        <w:t>7</w:t>
      </w:r>
      <w:r>
        <w:rPr>
          <w:rFonts w:hint="eastAsia" w:ascii="宋体" w:hAnsi="宋体" w:cs="宋体"/>
          <w:color w:val="auto"/>
          <w:sz w:val="24"/>
          <w:szCs w:val="24"/>
          <w:highlight w:val="none"/>
        </w:rPr>
        <w:t>）质疑人承担使用虚假材料或恶意方式质疑的法律责任。</w:t>
      </w:r>
    </w:p>
    <w:p>
      <w:pPr>
        <w:adjustRightInd w:val="0"/>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四、无佐证材料的举报作违约处理。供应商不得进行不提供相关佐证材料（含无法查实的如宣传册、媒体报道、猜测、推理等）向有关部门的举报，否则作违约处理。同时对其在</w:t>
      </w:r>
      <w:r>
        <w:rPr>
          <w:rFonts w:ascii="宋体" w:hAnsi="宋体" w:cs="宋体"/>
          <w:color w:val="auto"/>
          <w:sz w:val="24"/>
          <w:szCs w:val="24"/>
          <w:highlight w:val="none"/>
        </w:rPr>
        <w:t>1</w:t>
      </w:r>
      <w:r>
        <w:rPr>
          <w:rFonts w:hint="eastAsia" w:ascii="宋体" w:hAnsi="宋体" w:cs="宋体"/>
          <w:color w:val="auto"/>
          <w:sz w:val="24"/>
          <w:szCs w:val="24"/>
          <w:highlight w:val="none"/>
        </w:rPr>
        <w:t>至</w:t>
      </w:r>
      <w:r>
        <w:rPr>
          <w:rFonts w:ascii="宋体" w:hAnsi="宋体" w:cs="宋体"/>
          <w:color w:val="auto"/>
          <w:sz w:val="24"/>
          <w:szCs w:val="24"/>
          <w:highlight w:val="none"/>
        </w:rPr>
        <w:t>3</w:t>
      </w:r>
      <w:r>
        <w:rPr>
          <w:rFonts w:hint="eastAsia" w:ascii="宋体" w:hAnsi="宋体" w:cs="宋体"/>
          <w:color w:val="auto"/>
          <w:sz w:val="24"/>
          <w:szCs w:val="24"/>
          <w:highlight w:val="none"/>
        </w:rPr>
        <w:t>年内禁入由采购单位组织的采购活动的违约处理。</w:t>
      </w:r>
    </w:p>
    <w:p>
      <w:pPr>
        <w:adjustRightInd w:val="0"/>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五、投诉不成立的作违约处理。供应商进行质疑后，采购单位回复质疑不成立，供应商仍进行投诉的，并最终投诉不成立的，作违约处理。采购单位有权对其在</w:t>
      </w:r>
      <w:r>
        <w:rPr>
          <w:rFonts w:ascii="宋体" w:hAnsi="宋体" w:cs="宋体"/>
          <w:color w:val="auto"/>
          <w:sz w:val="24"/>
          <w:szCs w:val="24"/>
          <w:highlight w:val="none"/>
        </w:rPr>
        <w:t>1</w:t>
      </w:r>
      <w:r>
        <w:rPr>
          <w:rFonts w:hint="eastAsia" w:ascii="宋体" w:hAnsi="宋体" w:cs="宋体"/>
          <w:color w:val="auto"/>
          <w:sz w:val="24"/>
          <w:szCs w:val="24"/>
          <w:highlight w:val="none"/>
        </w:rPr>
        <w:t>至</w:t>
      </w:r>
      <w:r>
        <w:rPr>
          <w:rFonts w:ascii="宋体" w:hAnsi="宋体" w:cs="宋体"/>
          <w:color w:val="auto"/>
          <w:sz w:val="24"/>
          <w:szCs w:val="24"/>
          <w:highlight w:val="none"/>
        </w:rPr>
        <w:t>3</w:t>
      </w:r>
      <w:r>
        <w:rPr>
          <w:rFonts w:hint="eastAsia" w:ascii="宋体" w:hAnsi="宋体" w:cs="宋体"/>
          <w:color w:val="auto"/>
          <w:sz w:val="24"/>
          <w:szCs w:val="24"/>
          <w:highlight w:val="none"/>
        </w:rPr>
        <w:t>年内禁入由采购单位组织的采购活动的违约处理。</w:t>
      </w:r>
    </w:p>
    <w:p>
      <w:pPr>
        <w:adjustRightInd w:val="0"/>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六、《质疑函》《质疑回复函》，质疑、举报、投诉不成立的等相关情况，视情在相关媒体予以披露。并建议相关采购机构对该供应商同步实施</w:t>
      </w:r>
      <w:r>
        <w:rPr>
          <w:rFonts w:ascii="宋体" w:hAnsi="宋体" w:cs="宋体"/>
          <w:color w:val="auto"/>
          <w:sz w:val="24"/>
          <w:szCs w:val="24"/>
          <w:highlight w:val="none"/>
        </w:rPr>
        <w:t>1</w:t>
      </w:r>
      <w:r>
        <w:rPr>
          <w:rFonts w:hint="eastAsia" w:ascii="宋体" w:hAnsi="宋体" w:cs="宋体"/>
          <w:color w:val="auto"/>
          <w:sz w:val="24"/>
          <w:szCs w:val="24"/>
          <w:highlight w:val="none"/>
        </w:rPr>
        <w:t>至</w:t>
      </w:r>
      <w:r>
        <w:rPr>
          <w:rFonts w:ascii="宋体" w:hAnsi="宋体" w:cs="宋体"/>
          <w:color w:val="auto"/>
          <w:sz w:val="24"/>
          <w:szCs w:val="24"/>
          <w:highlight w:val="none"/>
        </w:rPr>
        <w:t>3</w:t>
      </w:r>
      <w:r>
        <w:rPr>
          <w:rFonts w:hint="eastAsia" w:ascii="宋体" w:hAnsi="宋体" w:cs="宋体"/>
          <w:color w:val="auto"/>
          <w:sz w:val="24"/>
          <w:szCs w:val="24"/>
          <w:highlight w:val="none"/>
        </w:rPr>
        <w:t>年内禁入。</w:t>
      </w:r>
    </w:p>
    <w:p>
      <w:pPr>
        <w:adjustRightInd w:val="0"/>
        <w:snapToGrid w:val="0"/>
        <w:spacing w:line="48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七、质疑供应商对采购单位或代理机构的答复不满意或者采购单位或代理机构未在规定的时间内作出答复的，可以在答复期满后</w:t>
      </w:r>
      <w:r>
        <w:rPr>
          <w:rFonts w:ascii="宋体" w:hAnsi="宋体" w:cs="宋体"/>
          <w:color w:val="auto"/>
          <w:sz w:val="24"/>
          <w:szCs w:val="24"/>
          <w:highlight w:val="none"/>
        </w:rPr>
        <w:t>15</w:t>
      </w:r>
      <w:r>
        <w:rPr>
          <w:rFonts w:hint="eastAsia" w:ascii="宋体" w:hAnsi="宋体" w:cs="宋体"/>
          <w:color w:val="auto"/>
          <w:sz w:val="24"/>
          <w:szCs w:val="24"/>
          <w:highlight w:val="none"/>
        </w:rPr>
        <w:t>个工作日内向采购监督管理部门投诉。</w:t>
      </w:r>
    </w:p>
    <w:bookmarkEnd w:id="71"/>
    <w:bookmarkEnd w:id="72"/>
    <w:p>
      <w:pPr>
        <w:pStyle w:val="5"/>
        <w:keepNext w:val="0"/>
        <w:keepLines w:val="0"/>
        <w:snapToGrid w:val="0"/>
        <w:spacing w:before="0" w:afterLines="50" w:line="520" w:lineRule="exact"/>
        <w:ind w:left="420"/>
        <w:jc w:val="center"/>
        <w:rPr>
          <w:rFonts w:ascii="宋体" w:cs="宋体"/>
          <w:color w:val="auto"/>
          <w:sz w:val="24"/>
          <w:szCs w:val="24"/>
          <w:highlight w:val="none"/>
        </w:rPr>
      </w:pPr>
      <w:bookmarkStart w:id="73" w:name="_Toc363573860"/>
      <w:r>
        <w:rPr>
          <w:rFonts w:ascii="宋体" w:cs="宋体"/>
          <w:color w:val="auto"/>
          <w:w w:val="80"/>
          <w:sz w:val="24"/>
          <w:szCs w:val="24"/>
          <w:highlight w:val="none"/>
        </w:rPr>
        <w:br w:type="page"/>
      </w:r>
      <w:r>
        <w:rPr>
          <w:rFonts w:hint="eastAsia" w:ascii="宋体" w:hAnsi="宋体" w:cs="宋体"/>
          <w:color w:val="auto"/>
          <w:w w:val="80"/>
          <w:kern w:val="2"/>
          <w:szCs w:val="44"/>
          <w:highlight w:val="none"/>
        </w:rPr>
        <w:t>第</w:t>
      </w:r>
      <w:r>
        <w:rPr>
          <w:rFonts w:hint="eastAsia" w:ascii="宋体" w:hAnsi="宋体" w:cs="宋体"/>
          <w:color w:val="auto"/>
          <w:w w:val="80"/>
          <w:kern w:val="2"/>
          <w:szCs w:val="44"/>
          <w:highlight w:val="none"/>
          <w:lang w:val="en-US" w:eastAsia="zh-CN"/>
        </w:rPr>
        <w:t>七</w:t>
      </w:r>
      <w:r>
        <w:rPr>
          <w:rFonts w:hint="eastAsia" w:ascii="宋体" w:hAnsi="宋体" w:cs="宋体"/>
          <w:color w:val="auto"/>
          <w:w w:val="80"/>
          <w:kern w:val="2"/>
          <w:szCs w:val="44"/>
          <w:highlight w:val="none"/>
        </w:rPr>
        <w:t>章</w:t>
      </w:r>
      <w:r>
        <w:rPr>
          <w:rFonts w:ascii="宋体" w:hAnsi="宋体" w:cs="宋体"/>
          <w:color w:val="auto"/>
          <w:w w:val="80"/>
          <w:kern w:val="2"/>
          <w:szCs w:val="44"/>
          <w:highlight w:val="none"/>
        </w:rPr>
        <w:t xml:space="preserve">  </w:t>
      </w:r>
      <w:r>
        <w:rPr>
          <w:rFonts w:hint="eastAsia" w:ascii="宋体" w:hAnsi="宋体" w:cs="宋体"/>
          <w:color w:val="auto"/>
          <w:w w:val="80"/>
          <w:kern w:val="2"/>
          <w:szCs w:val="44"/>
          <w:highlight w:val="none"/>
        </w:rPr>
        <w:t>响应文件组成及格式</w:t>
      </w:r>
      <w:bookmarkEnd w:id="73"/>
    </w:p>
    <w:p>
      <w:pPr>
        <w:widowControl/>
        <w:snapToGrid w:val="0"/>
        <w:spacing w:line="360" w:lineRule="auto"/>
        <w:ind w:firstLine="472" w:firstLineChars="196"/>
        <w:jc w:val="left"/>
        <w:rPr>
          <w:rFonts w:ascii="宋体"/>
          <w:b/>
          <w:color w:val="auto"/>
          <w:sz w:val="24"/>
          <w:szCs w:val="24"/>
          <w:highlight w:val="none"/>
        </w:rPr>
      </w:pPr>
      <w:r>
        <w:rPr>
          <w:rFonts w:hint="eastAsia" w:ascii="宋体" w:hAnsi="宋体"/>
          <w:b/>
          <w:color w:val="auto"/>
          <w:sz w:val="24"/>
          <w:szCs w:val="24"/>
          <w:highlight w:val="none"/>
        </w:rPr>
        <w:t>响应文件由资格审查文件、技术响应文件、商务报价响应文件三部分组成。本次竞争性磋商采用资格后审方式，供应商须将资格审查文件作为响应文件组成部分，按磋商文件要求装订密封后一起递交。</w:t>
      </w:r>
    </w:p>
    <w:p>
      <w:pPr>
        <w:widowControl/>
        <w:snapToGrid w:val="0"/>
        <w:spacing w:line="360" w:lineRule="auto"/>
        <w:ind w:firstLine="472" w:firstLineChars="196"/>
        <w:jc w:val="left"/>
        <w:rPr>
          <w:rFonts w:ascii="宋体"/>
          <w:b/>
          <w:color w:val="auto"/>
          <w:sz w:val="24"/>
          <w:szCs w:val="24"/>
          <w:highlight w:val="none"/>
        </w:rPr>
      </w:pPr>
      <w:r>
        <w:rPr>
          <w:rFonts w:hint="eastAsia" w:ascii="宋体" w:hAnsi="宋体"/>
          <w:b/>
          <w:color w:val="auto"/>
          <w:sz w:val="24"/>
          <w:szCs w:val="24"/>
          <w:highlight w:val="none"/>
        </w:rPr>
        <w:t>一、资格审查文件</w:t>
      </w:r>
      <w:r>
        <w:rPr>
          <w:rFonts w:hint="eastAsia" w:ascii="宋体" w:hAnsi="宋体" w:cs="宋体"/>
          <w:b/>
          <w:color w:val="auto"/>
          <w:sz w:val="24"/>
          <w:szCs w:val="24"/>
          <w:highlight w:val="none"/>
          <w:lang w:val="zh-CN"/>
        </w:rPr>
        <w:t>（</w:t>
      </w:r>
      <w:r>
        <w:rPr>
          <w:rFonts w:hint="eastAsia" w:ascii="宋体" w:hAnsi="宋体" w:cs="宋体"/>
          <w:b/>
          <w:bCs/>
          <w:color w:val="auto"/>
          <w:sz w:val="24"/>
          <w:szCs w:val="24"/>
          <w:highlight w:val="none"/>
        </w:rPr>
        <w:t>单独密封</w:t>
      </w:r>
      <w:r>
        <w:rPr>
          <w:rFonts w:hint="eastAsia" w:ascii="宋体" w:hAnsi="宋体" w:cs="宋体"/>
          <w:b/>
          <w:color w:val="auto"/>
          <w:sz w:val="24"/>
          <w:szCs w:val="24"/>
          <w:highlight w:val="none"/>
          <w:lang w:val="zh-CN"/>
        </w:rPr>
        <w:t>）</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1.</w:t>
      </w:r>
      <w:r>
        <w:rPr>
          <w:rFonts w:hint="eastAsia" w:ascii="宋体" w:hAnsi="宋体" w:cs="宋体"/>
          <w:color w:val="auto"/>
          <w:sz w:val="24"/>
          <w:szCs w:val="24"/>
          <w:highlight w:val="none"/>
        </w:rPr>
        <w:t>投标供应商必须具有独立的法人资格，提供有效的营业执照及税务登记证</w:t>
      </w:r>
      <w:r>
        <w:rPr>
          <w:rFonts w:hint="eastAsia" w:ascii="宋体" w:hAnsi="宋体" w:cs="宋体"/>
          <w:color w:val="auto"/>
          <w:sz w:val="24"/>
          <w:szCs w:val="24"/>
          <w:highlight w:val="none"/>
          <w:lang w:val="en-US" w:eastAsia="zh-CN"/>
        </w:rPr>
        <w:t>复印件</w:t>
      </w:r>
      <w:r>
        <w:rPr>
          <w:rFonts w:hint="eastAsia" w:ascii="宋体" w:hAnsi="宋体" w:cs="宋体"/>
          <w:color w:val="auto"/>
          <w:sz w:val="24"/>
          <w:szCs w:val="24"/>
          <w:highlight w:val="none"/>
        </w:rPr>
        <w:t>（或者是三证合一的营业执照</w:t>
      </w:r>
      <w:r>
        <w:rPr>
          <w:rFonts w:hint="eastAsia" w:ascii="宋体" w:hAnsi="宋体" w:cs="宋体"/>
          <w:color w:val="auto"/>
          <w:sz w:val="24"/>
          <w:szCs w:val="24"/>
          <w:highlight w:val="none"/>
          <w:lang w:val="en-US" w:eastAsia="zh-CN"/>
        </w:rPr>
        <w:t>复印件</w:t>
      </w:r>
      <w:r>
        <w:rPr>
          <w:rFonts w:hint="eastAsia" w:ascii="宋体" w:hAnsi="宋体" w:cs="宋体"/>
          <w:color w:val="auto"/>
          <w:sz w:val="24"/>
          <w:szCs w:val="24"/>
          <w:highlight w:val="none"/>
        </w:rPr>
        <w:t>），有能力提供本次采购项目所要求的服务。</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2.</w:t>
      </w:r>
      <w:r>
        <w:rPr>
          <w:rFonts w:hint="eastAsia" w:ascii="宋体" w:hAnsi="宋体" w:cs="宋体"/>
          <w:color w:val="auto"/>
          <w:sz w:val="24"/>
          <w:szCs w:val="24"/>
          <w:highlight w:val="none"/>
        </w:rPr>
        <w:t>投标供应商法定代表人参加投标的，必须提供法定代表人身份证明及法定代表人本人身份证复印件；非法定代表人参加投标的，必须提供法定代表人签字或盖章的授权委托书及法定代表人、被授权人的两人身份证的复印件，被授权人为投标供应商正式人员证明材料【</w:t>
      </w:r>
      <w:r>
        <w:rPr>
          <w:rFonts w:hint="eastAsia" w:ascii="宋体" w:hAnsi="宋体" w:cs="宋体"/>
          <w:color w:val="auto"/>
          <w:sz w:val="24"/>
          <w:szCs w:val="24"/>
          <w:highlight w:val="none"/>
          <w:lang w:val="en-US" w:eastAsia="zh-CN"/>
        </w:rPr>
        <w:t>提供</w:t>
      </w:r>
      <w:r>
        <w:rPr>
          <w:rFonts w:hint="eastAsia" w:ascii="宋体" w:hAnsi="宋体" w:eastAsia="宋体" w:cs="宋体"/>
          <w:color w:val="auto"/>
          <w:sz w:val="24"/>
          <w:szCs w:val="24"/>
          <w:highlight w:val="none"/>
        </w:rPr>
        <w:t>授权代表与</w:t>
      </w:r>
      <w:r>
        <w:rPr>
          <w:rFonts w:hint="eastAsia" w:ascii="宋体" w:hAnsi="宋体" w:eastAsia="宋体" w:cs="宋体"/>
          <w:color w:val="auto"/>
          <w:sz w:val="24"/>
          <w:szCs w:val="24"/>
          <w:highlight w:val="none"/>
          <w:lang w:eastAsia="zh-CN"/>
        </w:rPr>
        <w:t>投标人</w:t>
      </w:r>
      <w:r>
        <w:rPr>
          <w:rFonts w:hint="eastAsia" w:ascii="宋体" w:hAnsi="宋体" w:eastAsia="宋体" w:cs="宋体"/>
          <w:color w:val="auto"/>
          <w:sz w:val="24"/>
          <w:szCs w:val="24"/>
          <w:highlight w:val="none"/>
        </w:rPr>
        <w:t>签订的有效劳动合同复印件</w:t>
      </w:r>
      <w:r>
        <w:rPr>
          <w:rFonts w:hint="eastAsia" w:ascii="宋体" w:hAnsi="宋体" w:cs="宋体"/>
          <w:color w:val="auto"/>
          <w:sz w:val="24"/>
          <w:szCs w:val="24"/>
          <w:highlight w:val="none"/>
        </w:rPr>
        <w:t>】。</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3.</w:t>
      </w:r>
      <w:r>
        <w:rPr>
          <w:rFonts w:hint="eastAsia" w:ascii="宋体" w:hAnsi="宋体" w:cs="宋体"/>
          <w:color w:val="auto"/>
          <w:sz w:val="24"/>
          <w:szCs w:val="24"/>
          <w:highlight w:val="none"/>
        </w:rPr>
        <w:t>投标供应商须提供参与本次项目采购活动前三年内，在经营活动中没有重大违法记录的书面《无重大违法记录声明函》（</w:t>
      </w:r>
      <w:r>
        <w:rPr>
          <w:rFonts w:hint="eastAsia" w:ascii="宋体" w:hAnsi="宋体" w:cs="宋体"/>
          <w:color w:val="auto"/>
          <w:sz w:val="24"/>
          <w:szCs w:val="24"/>
          <w:highlight w:val="none"/>
          <w:lang w:eastAsia="zh-CN"/>
        </w:rPr>
        <w:t>格式参见第七章</w:t>
      </w:r>
      <w:r>
        <w:rPr>
          <w:rFonts w:hint="eastAsia" w:ascii="宋体" w:hAnsi="宋体" w:cs="宋体"/>
          <w:color w:val="auto"/>
          <w:sz w:val="24"/>
          <w:szCs w:val="24"/>
          <w:highlight w:val="none"/>
        </w:rPr>
        <w:t>）。</w:t>
      </w:r>
    </w:p>
    <w:p>
      <w:pPr>
        <w:snapToGrid w:val="0"/>
        <w:spacing w:line="360" w:lineRule="auto"/>
        <w:ind w:firstLine="480" w:firstLineChars="200"/>
        <w:jc w:val="left"/>
        <w:rPr>
          <w:rFonts w:ascii="宋体" w:hAnsi="宋体" w:cs="宋体"/>
          <w:color w:val="auto"/>
          <w:sz w:val="24"/>
          <w:szCs w:val="24"/>
          <w:highlight w:val="none"/>
        </w:rPr>
      </w:pPr>
      <w:r>
        <w:rPr>
          <w:rFonts w:hint="eastAsia" w:ascii="宋体" w:hAnsi="宋体" w:cs="宋体"/>
          <w:color w:val="auto"/>
          <w:sz w:val="24"/>
          <w:szCs w:val="24"/>
          <w:highlight w:val="none"/>
          <w:lang w:val="en-US" w:eastAsia="zh-CN"/>
        </w:rPr>
        <w:t>4.</w:t>
      </w:r>
      <w:r>
        <w:rPr>
          <w:rFonts w:hint="eastAsia" w:ascii="宋体" w:hAnsi="宋体" w:cs="宋体"/>
          <w:color w:val="auto"/>
          <w:sz w:val="24"/>
          <w:szCs w:val="24"/>
          <w:highlight w:val="none"/>
        </w:rPr>
        <w:t>关于资格文件的声明函（</w:t>
      </w:r>
      <w:r>
        <w:rPr>
          <w:rFonts w:hint="eastAsia" w:ascii="宋体" w:hAnsi="宋体" w:cs="宋体"/>
          <w:color w:val="auto"/>
          <w:sz w:val="24"/>
          <w:szCs w:val="24"/>
          <w:highlight w:val="none"/>
          <w:lang w:eastAsia="zh-CN"/>
        </w:rPr>
        <w:t>格式参见第七章</w:t>
      </w:r>
      <w:r>
        <w:rPr>
          <w:rFonts w:hint="eastAsia" w:ascii="宋体" w:hAnsi="宋体" w:cs="宋体"/>
          <w:color w:val="auto"/>
          <w:sz w:val="24"/>
          <w:szCs w:val="24"/>
          <w:highlight w:val="none"/>
        </w:rPr>
        <w:t>）。</w:t>
      </w:r>
    </w:p>
    <w:p>
      <w:pPr>
        <w:adjustRightInd w:val="0"/>
        <w:snapToGrid w:val="0"/>
        <w:spacing w:line="360" w:lineRule="auto"/>
        <w:ind w:firstLine="482" w:firstLineChars="200"/>
        <w:contextualSpacing/>
        <w:jc w:val="left"/>
        <w:rPr>
          <w:rFonts w:hint="eastAsia" w:ascii="宋体" w:hAnsi="宋体" w:eastAsia="宋体" w:cs="宋体"/>
          <w:b/>
          <w:color w:val="auto"/>
          <w:sz w:val="24"/>
          <w:szCs w:val="21"/>
          <w:highlight w:val="none"/>
        </w:rPr>
      </w:pPr>
      <w:r>
        <w:rPr>
          <w:rFonts w:hint="eastAsia" w:ascii="宋体" w:hAnsi="宋体" w:eastAsia="宋体" w:cs="宋体"/>
          <w:b/>
          <w:color w:val="auto"/>
          <w:sz w:val="24"/>
          <w:szCs w:val="21"/>
          <w:highlight w:val="none"/>
        </w:rPr>
        <w:t>注：以上材料如为复印件均需加盖供应商公章</w:t>
      </w:r>
    </w:p>
    <w:p>
      <w:pPr>
        <w:widowControl/>
        <w:snapToGrid w:val="0"/>
        <w:spacing w:line="360" w:lineRule="auto"/>
        <w:ind w:firstLine="472" w:firstLineChars="196"/>
        <w:jc w:val="left"/>
        <w:rPr>
          <w:rFonts w:ascii="宋体"/>
          <w:b/>
          <w:color w:val="auto"/>
          <w:sz w:val="24"/>
          <w:szCs w:val="24"/>
          <w:highlight w:val="none"/>
        </w:rPr>
      </w:pPr>
      <w:r>
        <w:rPr>
          <w:rFonts w:hint="eastAsia" w:ascii="宋体" w:hAnsi="宋体"/>
          <w:b/>
          <w:color w:val="auto"/>
          <w:sz w:val="24"/>
          <w:szCs w:val="24"/>
          <w:highlight w:val="none"/>
        </w:rPr>
        <w:t>二、技术响应文件（单独密封）</w:t>
      </w:r>
    </w:p>
    <w:p>
      <w:pPr>
        <w:adjustRightInd w:val="0"/>
        <w:snapToGrid w:val="0"/>
        <w:spacing w:line="480" w:lineRule="exact"/>
        <w:ind w:firstLine="484" w:firstLineChars="202"/>
        <w:jc w:val="left"/>
        <w:rPr>
          <w:rFonts w:hint="eastAsia" w:ascii="宋体" w:hAnsi="宋体" w:eastAsia="宋体" w:cs="宋体"/>
          <w:bCs/>
          <w:sz w:val="24"/>
          <w:szCs w:val="24"/>
        </w:rPr>
      </w:pPr>
      <w:r>
        <w:rPr>
          <w:rFonts w:hint="eastAsia" w:ascii="宋体" w:hAnsi="宋体" w:eastAsia="宋体" w:cs="宋体"/>
          <w:bCs/>
          <w:sz w:val="24"/>
          <w:szCs w:val="24"/>
          <w:lang w:eastAsia="zh-CN"/>
        </w:rPr>
        <w:t>1.</w:t>
      </w:r>
      <w:r>
        <w:rPr>
          <w:rFonts w:hint="eastAsia" w:ascii="宋体" w:hAnsi="宋体" w:eastAsia="宋体" w:cs="宋体"/>
          <w:bCs/>
          <w:sz w:val="24"/>
          <w:szCs w:val="24"/>
        </w:rPr>
        <w:t>磋商文件中所涉及的事项需提供的所有资料；</w:t>
      </w:r>
    </w:p>
    <w:p>
      <w:pPr>
        <w:snapToGrid w:val="0"/>
        <w:spacing w:line="480" w:lineRule="exact"/>
        <w:ind w:firstLine="480" w:firstLineChars="200"/>
        <w:rPr>
          <w:rFonts w:hint="eastAsia" w:ascii="宋体" w:hAnsi="宋体"/>
          <w:color w:val="auto"/>
          <w:sz w:val="24"/>
          <w:szCs w:val="24"/>
          <w:highlight w:val="none"/>
        </w:rPr>
      </w:pPr>
      <w:r>
        <w:rPr>
          <w:rFonts w:hint="eastAsia" w:ascii="宋体" w:hAnsi="宋体" w:eastAsia="宋体" w:cs="宋体"/>
          <w:bCs/>
          <w:sz w:val="24"/>
          <w:szCs w:val="24"/>
          <w:lang w:eastAsia="zh-CN"/>
        </w:rPr>
        <w:t>2.</w:t>
      </w:r>
      <w:r>
        <w:rPr>
          <w:rFonts w:hint="eastAsia" w:ascii="宋体" w:hAnsi="宋体" w:eastAsia="宋体" w:cs="宋体"/>
          <w:bCs/>
          <w:sz w:val="24"/>
          <w:szCs w:val="24"/>
        </w:rPr>
        <w:t>磋商文件中未涉及的事项，</w:t>
      </w:r>
      <w:r>
        <w:rPr>
          <w:rFonts w:hint="eastAsia" w:ascii="宋体" w:hAnsi="宋体" w:eastAsia="宋体" w:cs="宋体"/>
          <w:bCs/>
          <w:sz w:val="24"/>
          <w:szCs w:val="24"/>
          <w:lang w:eastAsia="zh-CN"/>
        </w:rPr>
        <w:t>供应商</w:t>
      </w:r>
      <w:r>
        <w:rPr>
          <w:rFonts w:hint="eastAsia" w:ascii="宋体" w:hAnsi="宋体" w:eastAsia="宋体" w:cs="宋体"/>
          <w:bCs/>
          <w:sz w:val="24"/>
          <w:szCs w:val="24"/>
        </w:rPr>
        <w:t>认为需要提交的其他资料。</w:t>
      </w:r>
    </w:p>
    <w:p>
      <w:pPr>
        <w:adjustRightInd w:val="0"/>
        <w:snapToGrid w:val="0"/>
        <w:spacing w:line="480" w:lineRule="exact"/>
        <w:ind w:firstLine="484" w:firstLineChars="202"/>
        <w:jc w:val="left"/>
        <w:rPr>
          <w:rFonts w:hint="eastAsia" w:ascii="宋体" w:hAnsi="宋体" w:eastAsia="宋体" w:cs="宋体"/>
          <w:bCs/>
          <w:sz w:val="24"/>
          <w:szCs w:val="24"/>
        </w:rPr>
      </w:pPr>
      <w:r>
        <w:rPr>
          <w:rFonts w:hint="eastAsia" w:ascii="宋体" w:hAnsi="宋体" w:eastAsia="宋体" w:cs="宋体"/>
          <w:bCs/>
          <w:sz w:val="24"/>
          <w:szCs w:val="24"/>
        </w:rPr>
        <w:t>注：为方便评委评审，请供应商按评标办法中所涉及的事项顺序进行编制，可以补充相关材料；</w:t>
      </w:r>
    </w:p>
    <w:p>
      <w:pPr>
        <w:adjustRightInd w:val="0"/>
        <w:snapToGrid w:val="0"/>
        <w:spacing w:line="480" w:lineRule="exact"/>
        <w:ind w:firstLine="482" w:firstLineChars="200"/>
        <w:jc w:val="left"/>
        <w:rPr>
          <w:rFonts w:ascii="宋体" w:cs="宋体"/>
          <w:b/>
          <w:color w:val="auto"/>
          <w:sz w:val="24"/>
          <w:szCs w:val="24"/>
          <w:highlight w:val="none"/>
          <w:lang w:val="zh-CN"/>
        </w:rPr>
      </w:pPr>
      <w:r>
        <w:rPr>
          <w:rFonts w:hint="eastAsia" w:ascii="宋体" w:hAnsi="宋体"/>
          <w:b/>
          <w:color w:val="auto"/>
          <w:sz w:val="24"/>
          <w:szCs w:val="24"/>
          <w:highlight w:val="none"/>
          <w:lang w:val="zh-CN"/>
        </w:rPr>
        <w:t>三、</w:t>
      </w:r>
      <w:r>
        <w:rPr>
          <w:rFonts w:hint="eastAsia" w:ascii="宋体" w:hAnsi="宋体"/>
          <w:b/>
          <w:color w:val="auto"/>
          <w:sz w:val="24"/>
          <w:szCs w:val="24"/>
          <w:highlight w:val="none"/>
        </w:rPr>
        <w:t>商务报价响应文件</w:t>
      </w:r>
      <w:r>
        <w:rPr>
          <w:rFonts w:hint="eastAsia" w:ascii="宋体" w:hAnsi="宋体"/>
          <w:b/>
          <w:color w:val="auto"/>
          <w:sz w:val="24"/>
          <w:szCs w:val="24"/>
          <w:highlight w:val="none"/>
          <w:lang w:val="zh-CN"/>
        </w:rPr>
        <w:t>（</w:t>
      </w:r>
      <w:r>
        <w:rPr>
          <w:rFonts w:hint="eastAsia" w:ascii="宋体" w:hAnsi="宋体" w:cs="宋体"/>
          <w:b/>
          <w:bCs/>
          <w:color w:val="auto"/>
          <w:sz w:val="24"/>
          <w:szCs w:val="24"/>
          <w:highlight w:val="none"/>
        </w:rPr>
        <w:t>单独密封</w:t>
      </w:r>
      <w:r>
        <w:rPr>
          <w:rFonts w:hint="eastAsia" w:ascii="宋体" w:hAnsi="宋体" w:cs="宋体"/>
          <w:b/>
          <w:color w:val="auto"/>
          <w:sz w:val="24"/>
          <w:szCs w:val="24"/>
          <w:highlight w:val="none"/>
          <w:lang w:val="zh-CN"/>
        </w:rPr>
        <w:t>）</w:t>
      </w:r>
    </w:p>
    <w:p>
      <w:pPr>
        <w:adjustRightInd w:val="0"/>
        <w:snapToGrid w:val="0"/>
        <w:spacing w:line="480" w:lineRule="exact"/>
        <w:ind w:firstLine="480" w:firstLineChars="20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zh-CN"/>
        </w:rPr>
        <w:t>1.投标响应报价总表（格式参见第七章）；</w:t>
      </w:r>
    </w:p>
    <w:p>
      <w:pPr>
        <w:adjustRightInd w:val="0"/>
        <w:snapToGrid w:val="0"/>
        <w:spacing w:line="480" w:lineRule="exact"/>
        <w:ind w:firstLine="480" w:firstLineChars="200"/>
        <w:jc w:val="left"/>
        <w:rPr>
          <w:rFonts w:ascii="宋体" w:hAnsi="宋体" w:cs="宋体"/>
          <w:bCs/>
          <w:color w:val="auto"/>
          <w:sz w:val="24"/>
          <w:szCs w:val="24"/>
          <w:highlight w:val="none"/>
          <w:lang w:val="zh-CN"/>
        </w:rPr>
      </w:pPr>
      <w:r>
        <w:rPr>
          <w:rFonts w:hint="eastAsia" w:ascii="宋体" w:hAnsi="宋体" w:cs="宋体"/>
          <w:bCs/>
          <w:color w:val="auto"/>
          <w:sz w:val="24"/>
          <w:szCs w:val="24"/>
          <w:highlight w:val="none"/>
          <w:lang w:val="en-US" w:eastAsia="zh-CN"/>
        </w:rPr>
        <w:t>2.</w:t>
      </w:r>
      <w:r>
        <w:rPr>
          <w:rFonts w:hint="eastAsia" w:ascii="宋体" w:hAnsi="宋体" w:cs="宋体"/>
          <w:bCs/>
          <w:color w:val="auto"/>
          <w:sz w:val="24"/>
          <w:szCs w:val="24"/>
          <w:highlight w:val="none"/>
          <w:lang w:val="zh-CN"/>
        </w:rPr>
        <w:t>投标响应报价</w:t>
      </w:r>
      <w:r>
        <w:rPr>
          <w:rFonts w:hint="eastAsia" w:ascii="宋体" w:hAnsi="宋体" w:cs="宋体"/>
          <w:bCs/>
          <w:color w:val="auto"/>
          <w:sz w:val="24"/>
          <w:szCs w:val="24"/>
          <w:highlight w:val="none"/>
          <w:lang w:val="en-US" w:eastAsia="zh-CN"/>
        </w:rPr>
        <w:t>明细表</w:t>
      </w:r>
      <w:r>
        <w:rPr>
          <w:rFonts w:hint="eastAsia" w:ascii="宋体" w:hAnsi="宋体" w:cs="宋体"/>
          <w:bCs/>
          <w:color w:val="auto"/>
          <w:sz w:val="24"/>
          <w:szCs w:val="24"/>
          <w:highlight w:val="none"/>
          <w:lang w:val="zh-CN"/>
        </w:rPr>
        <w:t>（格式</w:t>
      </w:r>
      <w:r>
        <w:rPr>
          <w:rFonts w:hint="eastAsia" w:ascii="宋体" w:hAnsi="宋体" w:cs="宋体"/>
          <w:bCs/>
          <w:color w:val="auto"/>
          <w:sz w:val="24"/>
          <w:szCs w:val="24"/>
          <w:highlight w:val="none"/>
          <w:lang w:val="en-US" w:eastAsia="zh-CN"/>
        </w:rPr>
        <w:t>自拟</w:t>
      </w:r>
      <w:r>
        <w:rPr>
          <w:rFonts w:hint="eastAsia" w:ascii="宋体" w:hAnsi="宋体" w:cs="宋体"/>
          <w:bCs/>
          <w:color w:val="auto"/>
          <w:sz w:val="24"/>
          <w:szCs w:val="24"/>
          <w:highlight w:val="none"/>
          <w:lang w:val="zh-CN"/>
        </w:rPr>
        <w:t>）。</w:t>
      </w:r>
    </w:p>
    <w:p>
      <w:pPr>
        <w:snapToGrid w:val="0"/>
        <w:spacing w:line="520" w:lineRule="exact"/>
        <w:rPr>
          <w:rFonts w:ascii="宋体" w:cs="宋体"/>
          <w:b/>
          <w:bCs/>
          <w:color w:val="auto"/>
          <w:sz w:val="24"/>
          <w:szCs w:val="24"/>
          <w:highlight w:val="none"/>
        </w:rPr>
      </w:pPr>
      <w:r>
        <w:rPr>
          <w:rFonts w:ascii="宋体" w:cs="宋体"/>
          <w:b/>
          <w:color w:val="auto"/>
          <w:sz w:val="24"/>
          <w:szCs w:val="24"/>
          <w:highlight w:val="none"/>
        </w:rPr>
        <w:br w:type="page"/>
      </w:r>
      <w:r>
        <w:rPr>
          <w:rFonts w:hint="eastAsia" w:ascii="宋体" w:hAnsi="宋体" w:cs="宋体"/>
          <w:b/>
          <w:color w:val="auto"/>
          <w:sz w:val="24"/>
          <w:szCs w:val="24"/>
          <w:highlight w:val="none"/>
        </w:rPr>
        <w:t>附件：</w:t>
      </w:r>
    </w:p>
    <w:p>
      <w:pPr>
        <w:snapToGrid w:val="0"/>
        <w:spacing w:line="520" w:lineRule="exact"/>
        <w:jc w:val="center"/>
        <w:outlineLvl w:val="3"/>
        <w:rPr>
          <w:rFonts w:ascii="宋体" w:cs="宋体"/>
          <w:b/>
          <w:color w:val="auto"/>
          <w:sz w:val="24"/>
          <w:szCs w:val="24"/>
          <w:highlight w:val="none"/>
        </w:rPr>
      </w:pPr>
      <w:r>
        <w:rPr>
          <w:rFonts w:hint="eastAsia" w:ascii="宋体" w:hAnsi="宋体" w:cs="宋体"/>
          <w:b/>
          <w:color w:val="auto"/>
          <w:sz w:val="24"/>
          <w:szCs w:val="24"/>
          <w:highlight w:val="none"/>
          <w:lang w:eastAsia="zh-CN"/>
        </w:rPr>
        <w:t>1.</w:t>
      </w:r>
      <w:r>
        <w:rPr>
          <w:rFonts w:hint="eastAsia" w:ascii="宋体" w:hAnsi="宋体" w:cs="宋体"/>
          <w:b/>
          <w:color w:val="auto"/>
          <w:sz w:val="24"/>
          <w:szCs w:val="24"/>
          <w:highlight w:val="none"/>
        </w:rPr>
        <w:t>法定代表人身份证明</w:t>
      </w:r>
    </w:p>
    <w:p>
      <w:pPr>
        <w:snapToGrid w:val="0"/>
        <w:spacing w:line="520" w:lineRule="exact"/>
        <w:jc w:val="center"/>
        <w:rPr>
          <w:rFonts w:ascii="宋体" w:cs="宋体"/>
          <w:color w:val="auto"/>
          <w:sz w:val="24"/>
          <w:szCs w:val="24"/>
          <w:highlight w:val="none"/>
        </w:rPr>
      </w:pPr>
      <w:r>
        <w:rPr>
          <w:rFonts w:hint="eastAsia" w:ascii="宋体" w:hAnsi="宋体" w:cs="宋体"/>
          <w:color w:val="auto"/>
          <w:sz w:val="24"/>
          <w:szCs w:val="24"/>
          <w:highlight w:val="none"/>
        </w:rPr>
        <w:t>（如法定代表人参加磋商，须出示此证明）</w:t>
      </w:r>
    </w:p>
    <w:p>
      <w:pPr>
        <w:snapToGrid w:val="0"/>
        <w:spacing w:line="520" w:lineRule="exact"/>
        <w:jc w:val="center"/>
        <w:rPr>
          <w:rFonts w:ascii="宋体" w:cs="宋体"/>
          <w:color w:val="auto"/>
          <w:sz w:val="24"/>
          <w:szCs w:val="24"/>
          <w:highlight w:val="none"/>
        </w:rPr>
      </w:pPr>
    </w:p>
    <w:p>
      <w:pPr>
        <w:snapToGrid w:val="0"/>
        <w:spacing w:line="520" w:lineRule="exact"/>
        <w:rPr>
          <w:rFonts w:ascii="宋体" w:cs="宋体"/>
          <w:color w:val="auto"/>
          <w:sz w:val="24"/>
          <w:szCs w:val="24"/>
          <w:highlight w:val="none"/>
          <w:u w:val="single"/>
        </w:rPr>
      </w:pPr>
      <w:r>
        <w:rPr>
          <w:rFonts w:hint="eastAsia" w:ascii="宋体" w:hAnsi="宋体" w:cs="宋体"/>
          <w:color w:val="auto"/>
          <w:sz w:val="24"/>
          <w:szCs w:val="24"/>
          <w:highlight w:val="none"/>
          <w:u w:val="single"/>
          <w:lang w:eastAsia="zh-CN"/>
        </w:rPr>
        <w:t>南通市第三人民医院</w:t>
      </w:r>
      <w:r>
        <w:rPr>
          <w:rFonts w:hint="eastAsia" w:ascii="宋体" w:hAnsi="宋体" w:cs="宋体"/>
          <w:color w:val="auto"/>
          <w:sz w:val="24"/>
          <w:szCs w:val="24"/>
          <w:highlight w:val="none"/>
          <w:u w:val="single"/>
        </w:rPr>
        <w:t>：</w:t>
      </w:r>
      <w:r>
        <w:rPr>
          <w:rFonts w:ascii="宋体" w:hAnsi="宋体" w:cs="宋体"/>
          <w:color w:val="auto"/>
          <w:sz w:val="24"/>
          <w:szCs w:val="24"/>
          <w:highlight w:val="none"/>
          <w:u w:val="single"/>
        </w:rPr>
        <w:t xml:space="preserve"> </w:t>
      </w:r>
    </w:p>
    <w:p>
      <w:pPr>
        <w:snapToGrid w:val="0"/>
        <w:spacing w:line="52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我公司法定代表人</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参加贵单位组织的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（竞争性磋商项目名称</w:t>
      </w:r>
      <w:r>
        <w:rPr>
          <w:rFonts w:ascii="宋体" w:hAnsi="宋体" w:cs="宋体"/>
          <w:color w:val="auto"/>
          <w:sz w:val="24"/>
          <w:szCs w:val="24"/>
          <w:highlight w:val="none"/>
        </w:rPr>
        <w:t>)</w:t>
      </w:r>
      <w:r>
        <w:rPr>
          <w:rFonts w:hint="eastAsia" w:ascii="宋体" w:hAnsi="宋体" w:cs="宋体"/>
          <w:color w:val="auto"/>
          <w:sz w:val="24"/>
          <w:szCs w:val="24"/>
          <w:highlight w:val="none"/>
        </w:rPr>
        <w:t>项目的磋商活动，全权代表我公司处理竞争性磋商的有关事宜。</w:t>
      </w:r>
    </w:p>
    <w:p>
      <w:pPr>
        <w:snapToGrid w:val="0"/>
        <w:spacing w:line="520" w:lineRule="exact"/>
        <w:rPr>
          <w:rFonts w:ascii="宋体" w:cs="宋体"/>
          <w:color w:val="auto"/>
          <w:sz w:val="24"/>
          <w:szCs w:val="24"/>
          <w:highlight w:val="none"/>
        </w:rPr>
      </w:pPr>
    </w:p>
    <w:p>
      <w:pPr>
        <w:snapToGrid w:val="0"/>
        <w:spacing w:line="520" w:lineRule="exact"/>
        <w:rPr>
          <w:rFonts w:ascii="宋体" w:cs="宋体"/>
          <w:color w:val="auto"/>
          <w:sz w:val="24"/>
          <w:szCs w:val="24"/>
          <w:highlight w:val="none"/>
        </w:rPr>
      </w:pPr>
      <w:r>
        <w:rPr>
          <w:rFonts w:hint="eastAsia" w:ascii="宋体" w:hAnsi="宋体" w:cs="宋体"/>
          <w:color w:val="auto"/>
          <w:sz w:val="24"/>
          <w:szCs w:val="24"/>
          <w:highlight w:val="none"/>
        </w:rPr>
        <w:t>附：法定代表人情况：</w:t>
      </w:r>
    </w:p>
    <w:p>
      <w:pPr>
        <w:snapToGrid w:val="0"/>
        <w:spacing w:line="520" w:lineRule="exact"/>
        <w:rPr>
          <w:rFonts w:ascii="宋体" w:cs="宋体"/>
          <w:color w:val="auto"/>
          <w:sz w:val="24"/>
          <w:szCs w:val="24"/>
          <w:highlight w:val="none"/>
          <w:u w:val="single"/>
        </w:rPr>
      </w:pPr>
      <w:r>
        <w:rPr>
          <w:rFonts w:hint="eastAsia" w:ascii="宋体" w:hAnsi="宋体" w:cs="宋体"/>
          <w:color w:val="auto"/>
          <w:sz w:val="24"/>
          <w:szCs w:val="24"/>
          <w:highlight w:val="none"/>
        </w:rPr>
        <w:t>姓名：  性别：  年龄：  职务：</w:t>
      </w:r>
    </w:p>
    <w:p>
      <w:pPr>
        <w:snapToGrid w:val="0"/>
        <w:spacing w:line="520" w:lineRule="exact"/>
        <w:rPr>
          <w:rFonts w:ascii="宋体" w:cs="宋体"/>
          <w:color w:val="auto"/>
          <w:sz w:val="24"/>
          <w:szCs w:val="24"/>
          <w:highlight w:val="none"/>
        </w:rPr>
      </w:pPr>
      <w:r>
        <w:rPr>
          <w:rFonts w:hint="eastAsia" w:ascii="宋体" w:hAnsi="宋体" w:cs="宋体"/>
          <w:color w:val="auto"/>
          <w:sz w:val="24"/>
          <w:szCs w:val="24"/>
          <w:highlight w:val="none"/>
        </w:rPr>
        <w:t>身份证号码：</w:t>
      </w:r>
    </w:p>
    <w:p>
      <w:pPr>
        <w:snapToGrid w:val="0"/>
        <w:spacing w:line="520" w:lineRule="exact"/>
        <w:rPr>
          <w:rFonts w:ascii="宋体" w:cs="宋体"/>
          <w:color w:val="auto"/>
          <w:sz w:val="24"/>
          <w:szCs w:val="24"/>
          <w:highlight w:val="none"/>
        </w:rPr>
      </w:pPr>
      <w:r>
        <w:rPr>
          <w:rFonts w:hint="eastAsia" w:ascii="宋体" w:hAnsi="宋体" w:cs="宋体"/>
          <w:color w:val="auto"/>
          <w:sz w:val="24"/>
          <w:szCs w:val="24"/>
          <w:highlight w:val="none"/>
        </w:rPr>
        <w:t xml:space="preserve">手机： </w:t>
      </w:r>
      <w:r>
        <w:rPr>
          <w:rFonts w:ascii="宋体" w:hAnsi="宋体" w:cs="宋体"/>
          <w:color w:val="auto"/>
          <w:sz w:val="24"/>
          <w:szCs w:val="24"/>
          <w:highlight w:val="none"/>
        </w:rPr>
        <w:t xml:space="preserve">                      </w:t>
      </w:r>
    </w:p>
    <w:p>
      <w:pPr>
        <w:snapToGrid w:val="0"/>
        <w:spacing w:line="520" w:lineRule="exact"/>
        <w:rPr>
          <w:rFonts w:ascii="宋体" w:cs="宋体"/>
          <w:color w:val="auto"/>
          <w:sz w:val="24"/>
          <w:szCs w:val="24"/>
          <w:highlight w:val="none"/>
        </w:rPr>
      </w:pPr>
      <w:r>
        <w:rPr>
          <w:rFonts w:ascii="宋体" w:cs="宋体"/>
          <w:color w:val="auto"/>
          <w:sz w:val="24"/>
          <w:szCs w:val="24"/>
          <w:highlight w:val="none"/>
        </w:rPr>
        <w:t> </w:t>
      </w:r>
    </w:p>
    <w:p>
      <w:pPr>
        <w:snapToGrid w:val="0"/>
        <w:spacing w:line="520" w:lineRule="exact"/>
        <w:rPr>
          <w:rFonts w:ascii="宋体" w:cs="宋体"/>
          <w:color w:val="auto"/>
          <w:sz w:val="24"/>
          <w:szCs w:val="24"/>
          <w:highlight w:val="none"/>
        </w:rPr>
      </w:pPr>
    </w:p>
    <w:p>
      <w:pPr>
        <w:snapToGrid w:val="0"/>
        <w:spacing w:line="520" w:lineRule="exact"/>
        <w:rPr>
          <w:rFonts w:ascii="宋体" w:cs="宋体"/>
          <w:color w:val="auto"/>
          <w:sz w:val="24"/>
          <w:szCs w:val="24"/>
          <w:highlight w:val="none"/>
        </w:rPr>
      </w:pPr>
      <w:r>
        <w:rPr>
          <w:rFonts w:hint="eastAsia" w:ascii="宋体" w:hAnsi="宋体" w:cs="宋体"/>
          <w:color w:val="auto"/>
          <w:sz w:val="24"/>
          <w:szCs w:val="24"/>
          <w:highlight w:val="none"/>
        </w:rPr>
        <w:t>单位名称（公章）</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法定代表人（签字或盖章）</w:t>
      </w:r>
    </w:p>
    <w:p>
      <w:pPr>
        <w:snapToGrid w:val="0"/>
        <w:spacing w:line="520" w:lineRule="exact"/>
        <w:ind w:firstLine="1200" w:firstLineChars="500"/>
        <w:rPr>
          <w:rFonts w:ascii="宋体" w:cs="宋体"/>
          <w:color w:val="auto"/>
          <w:sz w:val="24"/>
          <w:szCs w:val="24"/>
          <w:highlight w:val="none"/>
        </w:rPr>
      </w:pP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r>
        <w:rPr>
          <w:rFonts w:ascii="宋体" w:hAnsi="宋体" w:cs="宋体"/>
          <w:color w:val="auto"/>
          <w:sz w:val="24"/>
          <w:szCs w:val="24"/>
          <w:highlight w:val="none"/>
        </w:rPr>
        <w:t xml:space="preserve">  </w:t>
      </w:r>
    </w:p>
    <w:p>
      <w:pPr>
        <w:snapToGrid w:val="0"/>
        <w:spacing w:line="520" w:lineRule="exact"/>
        <w:rPr>
          <w:rFonts w:ascii="宋体" w:cs="宋体"/>
          <w:color w:val="auto"/>
          <w:sz w:val="24"/>
          <w:szCs w:val="24"/>
          <w:highlight w:val="none"/>
        </w:rPr>
      </w:pPr>
    </w:p>
    <w:p>
      <w:pPr>
        <w:snapToGrid w:val="0"/>
        <w:spacing w:line="520" w:lineRule="exact"/>
        <w:ind w:firstLine="2715" w:firstLineChars="1127"/>
        <w:rPr>
          <w:rFonts w:ascii="宋体" w:cs="宋体"/>
          <w:b/>
          <w:color w:val="auto"/>
          <w:sz w:val="24"/>
          <w:szCs w:val="24"/>
          <w:highlight w:val="none"/>
        </w:rPr>
      </w:pPr>
      <w:r>
        <w:rPr>
          <w:rFonts w:hint="eastAsia" w:ascii="宋体" w:hAnsi="宋体" w:cs="宋体"/>
          <w:b/>
          <w:color w:val="auto"/>
          <w:sz w:val="24"/>
          <w:szCs w:val="24"/>
          <w:highlight w:val="none"/>
        </w:rPr>
        <w:t>法定代表人身份证复印件</w:t>
      </w:r>
    </w:p>
    <w:p>
      <w:pPr>
        <w:snapToGrid w:val="0"/>
        <w:spacing w:line="520" w:lineRule="exact"/>
        <w:rPr>
          <w:rFonts w:ascii="宋体" w:cs="宋体"/>
          <w:color w:val="auto"/>
          <w:sz w:val="24"/>
          <w:szCs w:val="24"/>
          <w:highlight w:val="none"/>
        </w:rPr>
      </w:pPr>
    </w:p>
    <w:p>
      <w:pPr>
        <w:snapToGrid w:val="0"/>
        <w:spacing w:line="520" w:lineRule="exact"/>
        <w:ind w:firstLine="3360" w:firstLineChars="1400"/>
        <w:rPr>
          <w:rFonts w:ascii="宋体" w:cs="宋体"/>
          <w:color w:val="auto"/>
          <w:sz w:val="24"/>
          <w:szCs w:val="24"/>
          <w:highlight w:val="none"/>
        </w:rPr>
      </w:pPr>
      <w:r>
        <w:rPr>
          <w:rFonts w:hint="eastAsia" w:ascii="宋体" w:hAnsi="宋体" w:cs="宋体"/>
          <w:color w:val="auto"/>
          <w:sz w:val="24"/>
          <w:szCs w:val="24"/>
          <w:highlight w:val="none"/>
        </w:rPr>
        <w:t>（粘贴此处）</w:t>
      </w:r>
    </w:p>
    <w:p>
      <w:pPr>
        <w:snapToGrid w:val="0"/>
        <w:spacing w:line="520" w:lineRule="exact"/>
        <w:ind w:firstLine="482" w:firstLineChars="200"/>
        <w:rPr>
          <w:rFonts w:ascii="宋体" w:cs="宋体"/>
          <w:b/>
          <w:bCs/>
          <w:color w:val="auto"/>
          <w:sz w:val="24"/>
          <w:szCs w:val="24"/>
          <w:highlight w:val="none"/>
        </w:rPr>
      </w:pPr>
    </w:p>
    <w:p>
      <w:pPr>
        <w:snapToGrid w:val="0"/>
        <w:spacing w:line="520" w:lineRule="exact"/>
        <w:jc w:val="center"/>
        <w:outlineLvl w:val="3"/>
        <w:rPr>
          <w:rFonts w:ascii="宋体" w:cs="宋体"/>
          <w:b/>
          <w:color w:val="auto"/>
          <w:sz w:val="24"/>
          <w:szCs w:val="24"/>
          <w:highlight w:val="none"/>
        </w:rPr>
      </w:pPr>
      <w:r>
        <w:rPr>
          <w:rFonts w:ascii="宋体" w:cs="宋体"/>
          <w:b/>
          <w:color w:val="auto"/>
          <w:sz w:val="24"/>
          <w:szCs w:val="24"/>
          <w:highlight w:val="none"/>
        </w:rPr>
        <w:br w:type="page"/>
      </w:r>
      <w:r>
        <w:rPr>
          <w:rFonts w:hint="eastAsia" w:ascii="宋体" w:hAnsi="宋体" w:cs="宋体"/>
          <w:b/>
          <w:color w:val="auto"/>
          <w:sz w:val="24"/>
          <w:szCs w:val="24"/>
          <w:highlight w:val="none"/>
          <w:lang w:eastAsia="zh-CN"/>
        </w:rPr>
        <w:t>2.</w:t>
      </w:r>
      <w:r>
        <w:rPr>
          <w:rFonts w:hint="eastAsia" w:ascii="宋体" w:hAnsi="宋体" w:cs="宋体"/>
          <w:b/>
          <w:color w:val="auto"/>
          <w:sz w:val="24"/>
          <w:szCs w:val="24"/>
          <w:highlight w:val="none"/>
        </w:rPr>
        <w:t>授权委托书</w:t>
      </w:r>
    </w:p>
    <w:p>
      <w:pPr>
        <w:snapToGrid w:val="0"/>
        <w:spacing w:line="520" w:lineRule="exact"/>
        <w:jc w:val="center"/>
        <w:rPr>
          <w:rFonts w:ascii="宋体" w:cs="宋体"/>
          <w:bCs/>
          <w:color w:val="auto"/>
          <w:sz w:val="24"/>
          <w:szCs w:val="24"/>
          <w:highlight w:val="none"/>
        </w:rPr>
      </w:pPr>
      <w:r>
        <w:rPr>
          <w:rFonts w:hint="eastAsia" w:ascii="宋体" w:hAnsi="宋体" w:cs="宋体"/>
          <w:bCs/>
          <w:color w:val="auto"/>
          <w:sz w:val="24"/>
          <w:szCs w:val="24"/>
          <w:highlight w:val="none"/>
        </w:rPr>
        <w:t>（如被授权人参加磋商，须出示此证明）</w:t>
      </w:r>
    </w:p>
    <w:p>
      <w:pPr>
        <w:snapToGrid w:val="0"/>
        <w:spacing w:line="520" w:lineRule="exact"/>
        <w:jc w:val="center"/>
        <w:rPr>
          <w:rFonts w:ascii="宋体" w:cs="宋体"/>
          <w:bCs/>
          <w:color w:val="auto"/>
          <w:sz w:val="24"/>
          <w:szCs w:val="24"/>
          <w:highlight w:val="none"/>
        </w:rPr>
      </w:pPr>
    </w:p>
    <w:p>
      <w:pPr>
        <w:snapToGrid w:val="0"/>
        <w:spacing w:line="480" w:lineRule="exact"/>
        <w:rPr>
          <w:rFonts w:ascii="宋体" w:cs="宋体"/>
          <w:color w:val="auto"/>
          <w:sz w:val="24"/>
          <w:szCs w:val="24"/>
          <w:highlight w:val="none"/>
          <w:u w:val="single"/>
        </w:rPr>
      </w:pPr>
      <w:r>
        <w:rPr>
          <w:rFonts w:hint="eastAsia" w:ascii="宋体" w:hAnsi="宋体" w:cs="宋体"/>
          <w:color w:val="auto"/>
          <w:sz w:val="24"/>
          <w:szCs w:val="24"/>
          <w:highlight w:val="none"/>
          <w:u w:val="single"/>
          <w:lang w:eastAsia="zh-CN"/>
        </w:rPr>
        <w:t>南通市第三人民医院</w:t>
      </w:r>
      <w:r>
        <w:rPr>
          <w:rFonts w:hint="eastAsia" w:ascii="宋体" w:hAnsi="宋体" w:cs="宋体"/>
          <w:color w:val="auto"/>
          <w:sz w:val="24"/>
          <w:szCs w:val="24"/>
          <w:highlight w:val="none"/>
          <w:u w:val="single"/>
        </w:rPr>
        <w:t>：</w:t>
      </w:r>
    </w:p>
    <w:p>
      <w:pPr>
        <w:snapToGrid w:val="0"/>
        <w:spacing w:line="480" w:lineRule="exact"/>
        <w:ind w:firstLine="480" w:firstLineChars="200"/>
        <w:rPr>
          <w:rFonts w:hAnsi="宋体" w:cs="宋体"/>
          <w:color w:val="auto"/>
          <w:sz w:val="24"/>
          <w:szCs w:val="24"/>
          <w:highlight w:val="none"/>
        </w:rPr>
      </w:pPr>
      <w:r>
        <w:rPr>
          <w:rFonts w:hint="eastAsia" w:hAnsi="宋体" w:cs="宋体"/>
          <w:color w:val="auto"/>
          <w:sz w:val="24"/>
          <w:szCs w:val="24"/>
          <w:highlight w:val="none"/>
        </w:rPr>
        <w:t>兹授权</w:t>
      </w:r>
      <w:r>
        <w:rPr>
          <w:rFonts w:hAnsi="宋体" w:cs="宋体"/>
          <w:color w:val="auto"/>
          <w:sz w:val="24"/>
          <w:szCs w:val="24"/>
          <w:highlight w:val="none"/>
          <w:u w:val="single"/>
        </w:rPr>
        <w:t xml:space="preserve">               </w:t>
      </w:r>
      <w:r>
        <w:rPr>
          <w:rFonts w:hint="eastAsia" w:hAnsi="宋体" w:cs="宋体"/>
          <w:color w:val="auto"/>
          <w:sz w:val="24"/>
          <w:szCs w:val="24"/>
          <w:highlight w:val="none"/>
          <w:u w:val="single"/>
        </w:rPr>
        <w:t>（</w:t>
      </w:r>
      <w:r>
        <w:rPr>
          <w:rFonts w:hint="eastAsia" w:hAnsi="宋体" w:cs="宋体"/>
          <w:color w:val="auto"/>
          <w:sz w:val="24"/>
          <w:szCs w:val="24"/>
          <w:highlight w:val="none"/>
        </w:rPr>
        <w:t>被授权人的姓名）代表我公司参加</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w:t>
      </w:r>
      <w:r>
        <w:rPr>
          <w:rFonts w:hint="eastAsia" w:hAnsi="宋体" w:cs="宋体"/>
          <w:color w:val="auto"/>
          <w:sz w:val="24"/>
          <w:szCs w:val="24"/>
          <w:highlight w:val="none"/>
        </w:rPr>
        <w:t>（</w:t>
      </w:r>
      <w:r>
        <w:rPr>
          <w:rFonts w:hint="eastAsia" w:ascii="宋体" w:hAnsi="宋体" w:cs="宋体"/>
          <w:color w:val="auto"/>
          <w:sz w:val="24"/>
          <w:szCs w:val="24"/>
          <w:highlight w:val="none"/>
        </w:rPr>
        <w:t>竞争性磋商项目名称</w:t>
      </w:r>
      <w:r>
        <w:rPr>
          <w:rFonts w:hAnsi="宋体" w:cs="宋体"/>
          <w:color w:val="auto"/>
          <w:sz w:val="24"/>
          <w:szCs w:val="24"/>
          <w:highlight w:val="none"/>
        </w:rPr>
        <w:t>)</w:t>
      </w:r>
      <w:r>
        <w:rPr>
          <w:rFonts w:hint="eastAsia" w:hAnsi="宋体" w:cs="宋体"/>
          <w:color w:val="auto"/>
          <w:sz w:val="24"/>
          <w:szCs w:val="24"/>
          <w:highlight w:val="none"/>
        </w:rPr>
        <w:t>项目的采购活动，全权处理一切与该项目采购有关的事务。其在办理上述事宜过程中所签署的所有文件我公司均予以承认。</w:t>
      </w:r>
    </w:p>
    <w:p>
      <w:pPr>
        <w:pStyle w:val="26"/>
        <w:adjustRightInd w:val="0"/>
        <w:snapToGrid w:val="0"/>
        <w:spacing w:line="500" w:lineRule="exact"/>
        <w:ind w:firstLine="480" w:firstLineChars="200"/>
        <w:jc w:val="left"/>
        <w:rPr>
          <w:rFonts w:hAnsi="宋体" w:cs="宋体"/>
          <w:color w:val="auto"/>
          <w:kern w:val="0"/>
          <w:sz w:val="24"/>
          <w:szCs w:val="24"/>
          <w:highlight w:val="none"/>
        </w:rPr>
      </w:pPr>
    </w:p>
    <w:p>
      <w:pPr>
        <w:pStyle w:val="26"/>
        <w:adjustRightInd w:val="0"/>
        <w:snapToGrid w:val="0"/>
        <w:spacing w:line="500" w:lineRule="exact"/>
        <w:ind w:firstLine="480" w:firstLineChars="200"/>
        <w:jc w:val="left"/>
        <w:rPr>
          <w:rFonts w:hAnsi="宋体" w:cs="宋体"/>
          <w:color w:val="auto"/>
          <w:kern w:val="0"/>
          <w:sz w:val="24"/>
          <w:szCs w:val="24"/>
          <w:highlight w:val="none"/>
        </w:rPr>
      </w:pPr>
      <w:r>
        <w:rPr>
          <w:rFonts w:hint="eastAsia" w:hAnsi="宋体" w:cs="宋体"/>
          <w:color w:val="auto"/>
          <w:kern w:val="0"/>
          <w:sz w:val="24"/>
          <w:szCs w:val="24"/>
          <w:highlight w:val="none"/>
        </w:rPr>
        <w:t>被授权人无转委托权，特此委托。</w:t>
      </w:r>
    </w:p>
    <w:p>
      <w:pPr>
        <w:pStyle w:val="26"/>
        <w:adjustRightInd w:val="0"/>
        <w:snapToGrid w:val="0"/>
        <w:spacing w:line="500" w:lineRule="exact"/>
        <w:ind w:firstLine="480" w:firstLineChars="200"/>
        <w:jc w:val="left"/>
        <w:rPr>
          <w:rFonts w:hAnsi="宋体" w:cs="宋体"/>
          <w:color w:val="auto"/>
          <w:kern w:val="0"/>
          <w:sz w:val="24"/>
          <w:szCs w:val="24"/>
          <w:highlight w:val="none"/>
        </w:rPr>
      </w:pPr>
    </w:p>
    <w:p>
      <w:pPr>
        <w:spacing w:line="480" w:lineRule="exact"/>
        <w:rPr>
          <w:rFonts w:hAnsi="宋体" w:cs="宋体"/>
          <w:color w:val="auto"/>
          <w:sz w:val="24"/>
          <w:szCs w:val="24"/>
          <w:highlight w:val="none"/>
        </w:rPr>
      </w:pPr>
      <w:r>
        <w:rPr>
          <w:rFonts w:hint="eastAsia" w:hAnsi="宋体" w:cs="宋体"/>
          <w:color w:val="auto"/>
          <w:sz w:val="24"/>
          <w:szCs w:val="24"/>
          <w:highlight w:val="none"/>
        </w:rPr>
        <w:t>附：被授权人情况：</w:t>
      </w:r>
    </w:p>
    <w:p>
      <w:pPr>
        <w:spacing w:line="480" w:lineRule="exact"/>
        <w:rPr>
          <w:rFonts w:hAnsi="宋体" w:cs="宋体"/>
          <w:color w:val="auto"/>
          <w:sz w:val="24"/>
          <w:szCs w:val="24"/>
          <w:highlight w:val="none"/>
          <w:u w:val="single"/>
        </w:rPr>
      </w:pPr>
      <w:r>
        <w:rPr>
          <w:rFonts w:hint="eastAsia" w:hAnsi="宋体" w:cs="宋体"/>
          <w:color w:val="auto"/>
          <w:sz w:val="24"/>
          <w:szCs w:val="24"/>
          <w:highlight w:val="none"/>
        </w:rPr>
        <w:t xml:space="preserve">姓名：  </w:t>
      </w:r>
      <w:r>
        <w:rPr>
          <w:rFonts w:hAnsi="宋体" w:cs="宋体"/>
          <w:color w:val="auto"/>
          <w:sz w:val="24"/>
          <w:szCs w:val="24"/>
          <w:highlight w:val="none"/>
        </w:rPr>
        <w:t xml:space="preserve"> </w:t>
      </w:r>
      <w:r>
        <w:rPr>
          <w:rFonts w:hint="eastAsia" w:hAnsi="宋体" w:cs="宋体"/>
          <w:color w:val="auto"/>
          <w:sz w:val="24"/>
          <w:szCs w:val="24"/>
          <w:highlight w:val="none"/>
        </w:rPr>
        <w:t>性别：  年龄：  职务：</w:t>
      </w:r>
    </w:p>
    <w:p>
      <w:pPr>
        <w:spacing w:line="480" w:lineRule="exact"/>
        <w:rPr>
          <w:rFonts w:hAnsi="宋体" w:cs="宋体"/>
          <w:color w:val="auto"/>
          <w:sz w:val="24"/>
          <w:szCs w:val="24"/>
          <w:highlight w:val="none"/>
        </w:rPr>
      </w:pPr>
      <w:r>
        <w:rPr>
          <w:rFonts w:hint="eastAsia" w:hAnsi="宋体" w:cs="宋体"/>
          <w:color w:val="auto"/>
          <w:sz w:val="24"/>
          <w:szCs w:val="24"/>
          <w:highlight w:val="none"/>
        </w:rPr>
        <w:t>身份证号码：</w:t>
      </w:r>
    </w:p>
    <w:p>
      <w:pPr>
        <w:spacing w:line="480" w:lineRule="exact"/>
        <w:rPr>
          <w:rFonts w:hAnsi="宋体" w:cs="宋体"/>
          <w:color w:val="auto"/>
          <w:sz w:val="24"/>
          <w:szCs w:val="24"/>
          <w:highlight w:val="none"/>
        </w:rPr>
      </w:pPr>
      <w:r>
        <w:rPr>
          <w:rFonts w:hint="eastAsia" w:hAnsi="宋体" w:cs="宋体"/>
          <w:color w:val="auto"/>
          <w:sz w:val="24"/>
          <w:szCs w:val="24"/>
          <w:highlight w:val="none"/>
        </w:rPr>
        <w:t xml:space="preserve">手机：  </w:t>
      </w:r>
    </w:p>
    <w:p>
      <w:pPr>
        <w:spacing w:line="480" w:lineRule="exact"/>
        <w:rPr>
          <w:rFonts w:hAnsi="宋体" w:cs="宋体"/>
          <w:color w:val="auto"/>
          <w:sz w:val="24"/>
          <w:szCs w:val="24"/>
          <w:highlight w:val="none"/>
        </w:rPr>
      </w:pPr>
    </w:p>
    <w:p>
      <w:pPr>
        <w:spacing w:line="480" w:lineRule="exact"/>
        <w:rPr>
          <w:rFonts w:hAnsi="宋体" w:cs="宋体"/>
          <w:color w:val="auto"/>
          <w:sz w:val="24"/>
          <w:szCs w:val="24"/>
          <w:highlight w:val="none"/>
        </w:rPr>
      </w:pPr>
      <w:r>
        <w:rPr>
          <w:rFonts w:hint="eastAsia" w:hAnsi="宋体" w:cs="宋体"/>
          <w:color w:val="auto"/>
          <w:sz w:val="24"/>
          <w:szCs w:val="24"/>
          <w:highlight w:val="none"/>
        </w:rPr>
        <w:t>单位名称（公章）</w:t>
      </w:r>
      <w:r>
        <w:rPr>
          <w:rFonts w:hAnsi="宋体" w:cs="宋体"/>
          <w:color w:val="auto"/>
          <w:sz w:val="24"/>
          <w:szCs w:val="24"/>
          <w:highlight w:val="none"/>
        </w:rPr>
        <w:t xml:space="preserve">             </w:t>
      </w:r>
      <w:r>
        <w:rPr>
          <w:rFonts w:hint="eastAsia" w:hAnsi="宋体" w:cs="宋体"/>
          <w:color w:val="auto"/>
          <w:sz w:val="24"/>
          <w:szCs w:val="24"/>
          <w:highlight w:val="none"/>
        </w:rPr>
        <w:t>法定代表人（签字或盖章）</w:t>
      </w:r>
    </w:p>
    <w:p>
      <w:pPr>
        <w:spacing w:line="480" w:lineRule="exact"/>
        <w:ind w:firstLine="1200" w:firstLineChars="500"/>
        <w:rPr>
          <w:rFonts w:hAnsi="宋体" w:cs="宋体"/>
          <w:color w:val="auto"/>
          <w:sz w:val="24"/>
          <w:szCs w:val="24"/>
          <w:highlight w:val="none"/>
        </w:rPr>
      </w:pPr>
      <w:r>
        <w:rPr>
          <w:rFonts w:hint="eastAsia" w:hAnsi="宋体" w:cs="宋体"/>
          <w:color w:val="auto"/>
          <w:sz w:val="24"/>
          <w:szCs w:val="24"/>
          <w:highlight w:val="none"/>
        </w:rPr>
        <w:t>年</w:t>
      </w:r>
      <w:r>
        <w:rPr>
          <w:rFonts w:hAnsi="宋体" w:cs="宋体"/>
          <w:color w:val="auto"/>
          <w:sz w:val="24"/>
          <w:szCs w:val="24"/>
          <w:highlight w:val="none"/>
        </w:rPr>
        <w:t xml:space="preserve">   </w:t>
      </w:r>
      <w:r>
        <w:rPr>
          <w:rFonts w:hint="eastAsia" w:hAnsi="宋体" w:cs="宋体"/>
          <w:color w:val="auto"/>
          <w:sz w:val="24"/>
          <w:szCs w:val="24"/>
          <w:highlight w:val="none"/>
        </w:rPr>
        <w:t>月</w:t>
      </w:r>
      <w:r>
        <w:rPr>
          <w:rFonts w:hAnsi="宋体" w:cs="宋体"/>
          <w:color w:val="auto"/>
          <w:sz w:val="24"/>
          <w:szCs w:val="24"/>
          <w:highlight w:val="none"/>
        </w:rPr>
        <w:t xml:space="preserve">   </w:t>
      </w:r>
      <w:r>
        <w:rPr>
          <w:rFonts w:hint="eastAsia" w:hAnsi="宋体" w:cs="宋体"/>
          <w:color w:val="auto"/>
          <w:sz w:val="24"/>
          <w:szCs w:val="24"/>
          <w:highlight w:val="none"/>
        </w:rPr>
        <w:t>日</w:t>
      </w:r>
      <w:r>
        <w:rPr>
          <w:rFonts w:hAnsi="宋体" w:cs="宋体"/>
          <w:color w:val="auto"/>
          <w:sz w:val="24"/>
          <w:szCs w:val="24"/>
          <w:highlight w:val="none"/>
        </w:rPr>
        <w:t xml:space="preserve">                 </w:t>
      </w:r>
      <w:r>
        <w:rPr>
          <w:rFonts w:hint="eastAsia" w:hAnsi="宋体" w:cs="宋体"/>
          <w:color w:val="auto"/>
          <w:sz w:val="24"/>
          <w:szCs w:val="24"/>
          <w:highlight w:val="none"/>
        </w:rPr>
        <w:t>年</w:t>
      </w:r>
      <w:r>
        <w:rPr>
          <w:rFonts w:hAnsi="宋体" w:cs="宋体"/>
          <w:color w:val="auto"/>
          <w:sz w:val="24"/>
          <w:szCs w:val="24"/>
          <w:highlight w:val="none"/>
        </w:rPr>
        <w:t xml:space="preserve">   </w:t>
      </w:r>
      <w:r>
        <w:rPr>
          <w:rFonts w:hint="eastAsia" w:hAnsi="宋体" w:cs="宋体"/>
          <w:color w:val="auto"/>
          <w:sz w:val="24"/>
          <w:szCs w:val="24"/>
          <w:highlight w:val="none"/>
        </w:rPr>
        <w:t>月</w:t>
      </w:r>
      <w:r>
        <w:rPr>
          <w:rFonts w:hAnsi="宋体" w:cs="宋体"/>
          <w:color w:val="auto"/>
          <w:sz w:val="24"/>
          <w:szCs w:val="24"/>
          <w:highlight w:val="none"/>
        </w:rPr>
        <w:t xml:space="preserve">    </w:t>
      </w:r>
      <w:r>
        <w:rPr>
          <w:rFonts w:hint="eastAsia" w:hAnsi="宋体" w:cs="宋体"/>
          <w:color w:val="auto"/>
          <w:sz w:val="24"/>
          <w:szCs w:val="24"/>
          <w:highlight w:val="none"/>
        </w:rPr>
        <w:t>日</w:t>
      </w:r>
      <w:r>
        <w:rPr>
          <w:rFonts w:hAnsi="宋体" w:cs="宋体"/>
          <w:color w:val="auto"/>
          <w:sz w:val="24"/>
          <w:szCs w:val="24"/>
          <w:highlight w:val="none"/>
        </w:rPr>
        <w:t xml:space="preserve">  </w:t>
      </w:r>
    </w:p>
    <w:p>
      <w:pPr>
        <w:spacing w:line="480" w:lineRule="exact"/>
        <w:rPr>
          <w:rFonts w:hAnsi="宋体" w:cs="宋体"/>
          <w:color w:val="auto"/>
          <w:sz w:val="24"/>
          <w:szCs w:val="24"/>
          <w:highlight w:val="none"/>
        </w:rPr>
      </w:pPr>
    </w:p>
    <w:p>
      <w:pPr>
        <w:snapToGrid w:val="0"/>
        <w:spacing w:line="520" w:lineRule="exact"/>
        <w:ind w:firstLine="2479" w:firstLineChars="1029"/>
        <w:rPr>
          <w:rFonts w:ascii="宋体" w:cs="宋体"/>
          <w:b/>
          <w:color w:val="auto"/>
          <w:sz w:val="24"/>
          <w:szCs w:val="24"/>
          <w:highlight w:val="none"/>
        </w:rPr>
      </w:pPr>
      <w:r>
        <w:rPr>
          <w:rFonts w:hint="eastAsia" w:ascii="宋体" w:hAnsi="宋体" w:cs="宋体"/>
          <w:b/>
          <w:color w:val="auto"/>
          <w:sz w:val="24"/>
          <w:szCs w:val="24"/>
          <w:highlight w:val="none"/>
        </w:rPr>
        <w:t>法定代表人身份证复印件</w:t>
      </w:r>
    </w:p>
    <w:p>
      <w:pPr>
        <w:snapToGrid w:val="0"/>
        <w:spacing w:line="520" w:lineRule="exact"/>
        <w:rPr>
          <w:rFonts w:ascii="宋体" w:cs="宋体"/>
          <w:color w:val="auto"/>
          <w:sz w:val="24"/>
          <w:szCs w:val="24"/>
          <w:highlight w:val="none"/>
        </w:rPr>
      </w:pPr>
    </w:p>
    <w:p>
      <w:pPr>
        <w:snapToGrid w:val="0"/>
        <w:spacing w:line="520" w:lineRule="exact"/>
        <w:ind w:firstLine="2997" w:firstLineChars="1244"/>
        <w:rPr>
          <w:rFonts w:ascii="宋体" w:cs="宋体"/>
          <w:b/>
          <w:color w:val="auto"/>
          <w:sz w:val="24"/>
          <w:szCs w:val="24"/>
          <w:highlight w:val="none"/>
        </w:rPr>
      </w:pPr>
      <w:r>
        <w:rPr>
          <w:rFonts w:hint="eastAsia" w:ascii="宋体" w:hAnsi="宋体" w:cs="宋体"/>
          <w:b/>
          <w:color w:val="auto"/>
          <w:sz w:val="24"/>
          <w:szCs w:val="24"/>
          <w:highlight w:val="none"/>
        </w:rPr>
        <w:t>（粘贴此处）</w:t>
      </w:r>
    </w:p>
    <w:p>
      <w:pPr>
        <w:spacing w:line="480" w:lineRule="exact"/>
        <w:rPr>
          <w:rFonts w:hAnsi="宋体" w:cs="宋体"/>
          <w:color w:val="auto"/>
          <w:sz w:val="24"/>
          <w:szCs w:val="24"/>
          <w:highlight w:val="none"/>
        </w:rPr>
      </w:pPr>
    </w:p>
    <w:p>
      <w:pPr>
        <w:spacing w:line="480" w:lineRule="exact"/>
        <w:rPr>
          <w:rFonts w:hAnsi="宋体" w:cs="宋体"/>
          <w:color w:val="auto"/>
          <w:sz w:val="24"/>
          <w:szCs w:val="24"/>
          <w:highlight w:val="none"/>
        </w:rPr>
      </w:pPr>
    </w:p>
    <w:p>
      <w:pPr>
        <w:spacing w:line="480" w:lineRule="exact"/>
        <w:ind w:firstLine="2479" w:firstLineChars="1029"/>
        <w:rPr>
          <w:rFonts w:hAnsi="宋体" w:cs="宋体"/>
          <w:b/>
          <w:color w:val="auto"/>
          <w:sz w:val="24"/>
          <w:szCs w:val="24"/>
          <w:highlight w:val="none"/>
        </w:rPr>
      </w:pPr>
      <w:r>
        <w:rPr>
          <w:rFonts w:hint="eastAsia" w:hAnsi="宋体" w:cs="宋体"/>
          <w:b/>
          <w:color w:val="auto"/>
          <w:sz w:val="24"/>
          <w:szCs w:val="24"/>
          <w:highlight w:val="none"/>
        </w:rPr>
        <w:t>被授权人身份证复印件</w:t>
      </w:r>
    </w:p>
    <w:p>
      <w:pPr>
        <w:spacing w:line="480" w:lineRule="exact"/>
        <w:rPr>
          <w:rFonts w:hAnsi="宋体" w:cs="宋体"/>
          <w:color w:val="auto"/>
          <w:sz w:val="24"/>
          <w:szCs w:val="24"/>
          <w:highlight w:val="none"/>
        </w:rPr>
      </w:pPr>
    </w:p>
    <w:p>
      <w:pPr>
        <w:spacing w:line="480" w:lineRule="exact"/>
        <w:ind w:firstLine="3115" w:firstLineChars="1293"/>
        <w:rPr>
          <w:rFonts w:hAnsi="宋体" w:cs="宋体"/>
          <w:b/>
          <w:color w:val="auto"/>
          <w:sz w:val="24"/>
          <w:szCs w:val="24"/>
          <w:highlight w:val="none"/>
        </w:rPr>
      </w:pPr>
      <w:r>
        <w:rPr>
          <w:rFonts w:hint="eastAsia" w:hAnsi="宋体" w:cs="宋体"/>
          <w:b/>
          <w:color w:val="auto"/>
          <w:sz w:val="24"/>
          <w:szCs w:val="24"/>
          <w:highlight w:val="none"/>
        </w:rPr>
        <w:t>（粘贴此处）</w:t>
      </w:r>
    </w:p>
    <w:p>
      <w:pPr>
        <w:pStyle w:val="2"/>
        <w:ind w:firstLine="480"/>
        <w:rPr>
          <w:color w:val="auto"/>
          <w:szCs w:val="24"/>
          <w:highlight w:val="none"/>
        </w:rPr>
      </w:pPr>
    </w:p>
    <w:p>
      <w:pPr>
        <w:spacing w:line="360" w:lineRule="auto"/>
        <w:jc w:val="center"/>
        <w:rPr>
          <w:rFonts w:ascii="宋体" w:cs="宋体"/>
          <w:b/>
          <w:color w:val="auto"/>
          <w:sz w:val="24"/>
          <w:szCs w:val="24"/>
          <w:highlight w:val="none"/>
        </w:rPr>
      </w:pPr>
      <w:r>
        <w:rPr>
          <w:color w:val="auto"/>
          <w:sz w:val="24"/>
          <w:szCs w:val="24"/>
          <w:highlight w:val="none"/>
        </w:rPr>
        <w:br w:type="page"/>
      </w:r>
      <w:r>
        <w:rPr>
          <w:rFonts w:hint="eastAsia" w:ascii="宋体" w:hAnsi="宋体" w:cs="宋体"/>
          <w:b/>
          <w:color w:val="auto"/>
          <w:sz w:val="24"/>
          <w:szCs w:val="24"/>
          <w:highlight w:val="none"/>
          <w:lang w:eastAsia="zh-CN"/>
        </w:rPr>
        <w:t>3.</w:t>
      </w:r>
      <w:r>
        <w:rPr>
          <w:rFonts w:hint="eastAsia" w:ascii="宋体" w:hAnsi="宋体" w:cs="宋体"/>
          <w:b/>
          <w:color w:val="auto"/>
          <w:sz w:val="24"/>
          <w:szCs w:val="24"/>
          <w:highlight w:val="none"/>
        </w:rPr>
        <w:t>无重大违法记录声明</w:t>
      </w:r>
    </w:p>
    <w:p>
      <w:pPr>
        <w:spacing w:line="560" w:lineRule="exact"/>
        <w:rPr>
          <w:rFonts w:ascii="宋体"/>
          <w:bCs/>
          <w:color w:val="auto"/>
          <w:sz w:val="24"/>
          <w:szCs w:val="24"/>
          <w:highlight w:val="none"/>
          <w:u w:val="single"/>
        </w:rPr>
      </w:pPr>
      <w:r>
        <w:rPr>
          <w:rFonts w:hint="eastAsia" w:ascii="宋体" w:hAnsi="宋体"/>
          <w:bCs/>
          <w:color w:val="auto"/>
          <w:sz w:val="24"/>
          <w:szCs w:val="24"/>
          <w:highlight w:val="none"/>
          <w:u w:val="single"/>
          <w:lang w:eastAsia="zh-CN"/>
        </w:rPr>
        <w:t>南通市第三人民医院</w:t>
      </w:r>
      <w:r>
        <w:rPr>
          <w:rFonts w:hint="eastAsia" w:ascii="宋体" w:hAnsi="宋体"/>
          <w:bCs/>
          <w:color w:val="auto"/>
          <w:sz w:val="24"/>
          <w:szCs w:val="24"/>
          <w:highlight w:val="none"/>
          <w:u w:val="single"/>
        </w:rPr>
        <w:t>：</w:t>
      </w:r>
    </w:p>
    <w:p>
      <w:pPr>
        <w:spacing w:line="560" w:lineRule="exact"/>
        <w:rPr>
          <w:rFonts w:asci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我单位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w:t>
      </w:r>
      <w:r>
        <w:rPr>
          <w:rFonts w:hint="eastAsia" w:ascii="宋体" w:hAnsi="宋体"/>
          <w:color w:val="auto"/>
          <w:sz w:val="24"/>
          <w:szCs w:val="24"/>
          <w:highlight w:val="none"/>
        </w:rPr>
        <w:t>（供应商名称）郑重声明：</w:t>
      </w:r>
    </w:p>
    <w:p>
      <w:pPr>
        <w:spacing w:line="560" w:lineRule="exact"/>
        <w:rPr>
          <w:rFonts w:asci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参加采购活动前</w:t>
      </w:r>
      <w:r>
        <w:rPr>
          <w:rFonts w:ascii="宋体" w:hAnsi="宋体"/>
          <w:color w:val="auto"/>
          <w:sz w:val="24"/>
          <w:szCs w:val="24"/>
          <w:highlight w:val="none"/>
        </w:rPr>
        <w:t>3</w:t>
      </w:r>
      <w:r>
        <w:rPr>
          <w:rFonts w:hint="eastAsia" w:ascii="宋体" w:hAnsi="宋体"/>
          <w:color w:val="auto"/>
          <w:sz w:val="24"/>
          <w:szCs w:val="24"/>
          <w:highlight w:val="none"/>
        </w:rPr>
        <w:t>年内在经营活动中</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w:t>
      </w:r>
      <w:r>
        <w:rPr>
          <w:rFonts w:hint="eastAsia" w:ascii="宋体" w:hAnsi="宋体"/>
          <w:color w:val="auto"/>
          <w:sz w:val="24"/>
          <w:szCs w:val="24"/>
          <w:highlight w:val="none"/>
        </w:rPr>
        <w:t>（在下划线上如实填写：有或没有）重大违法记录。</w:t>
      </w:r>
    </w:p>
    <w:p>
      <w:pPr>
        <w:spacing w:line="560" w:lineRule="exact"/>
        <w:ind w:firstLine="480"/>
        <w:rPr>
          <w:rFonts w:ascii="宋体"/>
          <w:color w:val="auto"/>
          <w:sz w:val="24"/>
          <w:szCs w:val="24"/>
          <w:highlight w:val="none"/>
        </w:rPr>
      </w:pPr>
      <w:r>
        <w:rPr>
          <w:rFonts w:hint="eastAsia" w:ascii="宋体" w:hAnsi="宋体"/>
          <w:color w:val="auto"/>
          <w:sz w:val="24"/>
          <w:szCs w:val="24"/>
          <w:highlight w:val="none"/>
        </w:rPr>
        <w:t>（说明：重大违法记录，是指供应商因违法经营受到刑事处罚或者责令停产停业、吊销许可证或者执照、较大数额罚款等行政处罚。）</w:t>
      </w:r>
    </w:p>
    <w:p>
      <w:pPr>
        <w:spacing w:line="420" w:lineRule="exact"/>
        <w:rPr>
          <w:rFonts w:ascii="宋体"/>
          <w:color w:val="auto"/>
          <w:sz w:val="24"/>
          <w:szCs w:val="24"/>
          <w:highlight w:val="none"/>
        </w:rPr>
      </w:pPr>
    </w:p>
    <w:p>
      <w:pPr>
        <w:spacing w:line="420" w:lineRule="exact"/>
        <w:ind w:firstLine="6360" w:firstLineChars="2650"/>
        <w:rPr>
          <w:rFonts w:ascii="宋体"/>
          <w:color w:val="auto"/>
          <w:sz w:val="24"/>
          <w:szCs w:val="24"/>
          <w:highlight w:val="none"/>
        </w:rPr>
      </w:pPr>
      <w:r>
        <w:rPr>
          <w:rFonts w:ascii="宋体" w:hAnsi="宋体"/>
          <w:color w:val="auto"/>
          <w:sz w:val="24"/>
          <w:szCs w:val="24"/>
          <w:highlight w:val="none"/>
        </w:rPr>
        <w:t xml:space="preserve"> </w:t>
      </w:r>
      <w:r>
        <w:rPr>
          <w:rFonts w:hint="eastAsia" w:ascii="宋体" w:hAnsi="宋体"/>
          <w:color w:val="auto"/>
          <w:sz w:val="24"/>
          <w:szCs w:val="24"/>
          <w:highlight w:val="none"/>
        </w:rPr>
        <w:t>声明人：（公章）</w:t>
      </w:r>
    </w:p>
    <w:p>
      <w:pPr>
        <w:spacing w:line="420" w:lineRule="exact"/>
        <w:jc w:val="right"/>
        <w:rPr>
          <w:rFonts w:ascii="宋体"/>
          <w:color w:val="auto"/>
          <w:sz w:val="24"/>
          <w:szCs w:val="24"/>
          <w:highlight w:val="none"/>
        </w:rPr>
      </w:pPr>
      <w:r>
        <w:rPr>
          <w:rFonts w:hint="eastAsia" w:ascii="宋体" w:hAnsi="宋体"/>
          <w:color w:val="auto"/>
          <w:sz w:val="24"/>
          <w:szCs w:val="24"/>
          <w:highlight w:val="none"/>
        </w:rPr>
        <w:t>年</w:t>
      </w:r>
      <w:r>
        <w:rPr>
          <w:rFonts w:ascii="宋体" w:hAnsi="宋体"/>
          <w:color w:val="auto"/>
          <w:sz w:val="24"/>
          <w:szCs w:val="24"/>
          <w:highlight w:val="none"/>
        </w:rPr>
        <w:t xml:space="preserve">     </w:t>
      </w:r>
      <w:r>
        <w:rPr>
          <w:rFonts w:hint="eastAsia" w:ascii="宋体" w:hAnsi="宋体"/>
          <w:color w:val="auto"/>
          <w:sz w:val="24"/>
          <w:szCs w:val="24"/>
          <w:highlight w:val="none"/>
        </w:rPr>
        <w:t>月</w:t>
      </w:r>
      <w:r>
        <w:rPr>
          <w:rFonts w:ascii="宋体" w:hAnsi="宋体"/>
          <w:color w:val="auto"/>
          <w:sz w:val="24"/>
          <w:szCs w:val="24"/>
          <w:highlight w:val="none"/>
        </w:rPr>
        <w:t xml:space="preserve">    </w:t>
      </w:r>
      <w:r>
        <w:rPr>
          <w:rFonts w:hint="eastAsia" w:ascii="宋体" w:hAnsi="宋体"/>
          <w:color w:val="auto"/>
          <w:sz w:val="24"/>
          <w:szCs w:val="24"/>
          <w:highlight w:val="none"/>
        </w:rPr>
        <w:t>日</w:t>
      </w:r>
    </w:p>
    <w:p>
      <w:pPr>
        <w:snapToGrid w:val="0"/>
        <w:spacing w:line="360" w:lineRule="auto"/>
        <w:jc w:val="center"/>
        <w:outlineLvl w:val="4"/>
        <w:rPr>
          <w:rFonts w:ascii="宋体" w:cs="宋体"/>
          <w:b/>
          <w:color w:val="auto"/>
          <w:sz w:val="24"/>
          <w:szCs w:val="24"/>
          <w:highlight w:val="none"/>
        </w:rPr>
      </w:pPr>
      <w:r>
        <w:rPr>
          <w:rFonts w:ascii="宋体" w:cs="宋体"/>
          <w:b/>
          <w:color w:val="auto"/>
          <w:sz w:val="24"/>
          <w:szCs w:val="24"/>
          <w:highlight w:val="none"/>
        </w:rPr>
        <w:br w:type="page"/>
      </w:r>
      <w:r>
        <w:rPr>
          <w:rFonts w:hint="eastAsia" w:ascii="宋体" w:hAnsi="宋体" w:cs="宋体"/>
          <w:b/>
          <w:color w:val="auto"/>
          <w:sz w:val="24"/>
          <w:szCs w:val="24"/>
          <w:highlight w:val="none"/>
          <w:lang w:eastAsia="zh-CN"/>
        </w:rPr>
        <w:t>4.</w:t>
      </w:r>
      <w:r>
        <w:rPr>
          <w:rFonts w:hint="eastAsia" w:ascii="宋体" w:hAnsi="宋体" w:cs="宋体"/>
          <w:b/>
          <w:color w:val="auto"/>
          <w:sz w:val="24"/>
          <w:szCs w:val="24"/>
          <w:highlight w:val="none"/>
        </w:rPr>
        <w:t>关于资格文件的声明函</w:t>
      </w:r>
    </w:p>
    <w:p>
      <w:pPr>
        <w:snapToGrid w:val="0"/>
        <w:spacing w:line="360" w:lineRule="auto"/>
        <w:rPr>
          <w:rFonts w:ascii="宋体" w:cs="宋体"/>
          <w:color w:val="auto"/>
          <w:sz w:val="24"/>
          <w:szCs w:val="24"/>
          <w:highlight w:val="none"/>
          <w:u w:val="single"/>
        </w:rPr>
      </w:pPr>
    </w:p>
    <w:p>
      <w:pPr>
        <w:snapToGrid w:val="0"/>
        <w:spacing w:line="360" w:lineRule="auto"/>
        <w:rPr>
          <w:rFonts w:ascii="宋体" w:cs="宋体"/>
          <w:color w:val="auto"/>
          <w:sz w:val="24"/>
          <w:szCs w:val="24"/>
          <w:highlight w:val="none"/>
          <w:u w:val="single"/>
        </w:rPr>
      </w:pPr>
    </w:p>
    <w:p>
      <w:pPr>
        <w:snapToGrid w:val="0"/>
        <w:spacing w:line="360" w:lineRule="auto"/>
        <w:rPr>
          <w:rFonts w:ascii="宋体"/>
          <w:bCs/>
          <w:color w:val="auto"/>
          <w:sz w:val="24"/>
          <w:szCs w:val="24"/>
          <w:highlight w:val="none"/>
          <w:u w:val="single"/>
        </w:rPr>
      </w:pPr>
      <w:r>
        <w:rPr>
          <w:rFonts w:hint="eastAsia" w:ascii="宋体" w:hAnsi="宋体" w:cs="宋体"/>
          <w:color w:val="auto"/>
          <w:sz w:val="24"/>
          <w:szCs w:val="24"/>
          <w:highlight w:val="none"/>
          <w:u w:val="single"/>
          <w:lang w:eastAsia="zh-CN"/>
        </w:rPr>
        <w:t>南通市第三人民医院</w:t>
      </w:r>
      <w:r>
        <w:rPr>
          <w:rFonts w:hint="eastAsia" w:ascii="宋体" w:hAnsi="宋体" w:cs="宋体"/>
          <w:color w:val="auto"/>
          <w:sz w:val="24"/>
          <w:szCs w:val="24"/>
          <w:highlight w:val="none"/>
          <w:u w:val="single"/>
        </w:rPr>
        <w:t>：</w:t>
      </w:r>
    </w:p>
    <w:p>
      <w:pPr>
        <w:overflowPunct w:val="0"/>
        <w:adjustRightInd w:val="0"/>
        <w:spacing w:line="360" w:lineRule="auto"/>
        <w:ind w:firstLine="660"/>
        <w:jc w:val="left"/>
        <w:textAlignment w:val="baseline"/>
        <w:rPr>
          <w:rFonts w:hint="eastAsia" w:ascii="宋体" w:hAnsi="宋体" w:cs="宋体"/>
          <w:color w:val="auto"/>
          <w:sz w:val="24"/>
          <w:szCs w:val="24"/>
          <w:highlight w:val="none"/>
        </w:rPr>
      </w:pPr>
      <w:r>
        <w:rPr>
          <w:rFonts w:hint="eastAsia" w:ascii="宋体" w:hAnsi="宋体"/>
          <w:color w:val="auto"/>
          <w:sz w:val="24"/>
          <w:szCs w:val="24"/>
          <w:highlight w:val="none"/>
        </w:rPr>
        <w:t>本公司愿就由贵单位组织实施的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w:t>
      </w:r>
      <w:r>
        <w:rPr>
          <w:rFonts w:hint="eastAsia" w:ascii="宋体" w:hAnsi="宋体"/>
          <w:color w:val="auto"/>
          <w:sz w:val="24"/>
          <w:szCs w:val="24"/>
          <w:highlight w:val="none"/>
        </w:rPr>
        <w:t>（</w:t>
      </w:r>
      <w:r>
        <w:rPr>
          <w:rFonts w:hint="eastAsia" w:ascii="宋体" w:hAnsi="宋体" w:cs="宋体"/>
          <w:color w:val="auto"/>
          <w:sz w:val="24"/>
          <w:szCs w:val="24"/>
          <w:highlight w:val="none"/>
        </w:rPr>
        <w:t>项目名称</w:t>
      </w:r>
      <w:r>
        <w:rPr>
          <w:rFonts w:ascii="宋体" w:hAnsi="宋体"/>
          <w:color w:val="auto"/>
          <w:sz w:val="24"/>
          <w:szCs w:val="24"/>
          <w:highlight w:val="none"/>
        </w:rPr>
        <w:t>)</w:t>
      </w:r>
      <w:r>
        <w:rPr>
          <w:rFonts w:hint="eastAsia" w:ascii="宋体" w:hAnsi="宋体"/>
          <w:color w:val="auto"/>
          <w:sz w:val="24"/>
          <w:szCs w:val="24"/>
          <w:highlight w:val="none"/>
        </w:rPr>
        <w:t>的活动参与磋商</w:t>
      </w:r>
      <w:r>
        <w:rPr>
          <w:rFonts w:hint="eastAsia" w:ascii="宋体" w:hAnsi="宋体" w:cs="宋体"/>
          <w:color w:val="auto"/>
          <w:sz w:val="24"/>
          <w:szCs w:val="24"/>
          <w:highlight w:val="none"/>
        </w:rPr>
        <w:t>。本公司所提交的磋商文件中所有关于资格的文件、证明和陈述均是真实的、准确的。</w:t>
      </w:r>
    </w:p>
    <w:p>
      <w:pPr>
        <w:overflowPunct w:val="0"/>
        <w:adjustRightInd w:val="0"/>
        <w:spacing w:line="360" w:lineRule="auto"/>
        <w:ind w:firstLine="660"/>
        <w:jc w:val="left"/>
        <w:textAlignment w:val="baseline"/>
        <w:rPr>
          <w:rFonts w:hint="eastAsia" w:ascii="宋体" w:hAnsi="宋体" w:eastAsia="宋体" w:cs="宋体"/>
          <w:color w:val="auto"/>
          <w:sz w:val="24"/>
          <w:szCs w:val="24"/>
          <w:highlight w:val="none"/>
          <w:lang w:eastAsia="zh-CN"/>
        </w:rPr>
      </w:pPr>
      <w:r>
        <w:rPr>
          <w:rFonts w:hint="eastAsia" w:ascii="宋体" w:hAnsi="宋体"/>
          <w:color w:val="auto"/>
          <w:sz w:val="24"/>
          <w:szCs w:val="24"/>
          <w:highlight w:val="none"/>
        </w:rPr>
        <w:t>本公司</w:t>
      </w:r>
      <w:r>
        <w:rPr>
          <w:rFonts w:hint="eastAsia" w:ascii="宋体" w:hAnsi="宋体" w:cs="宋体"/>
          <w:color w:val="auto"/>
          <w:sz w:val="24"/>
          <w:szCs w:val="24"/>
          <w:highlight w:val="none"/>
        </w:rPr>
        <w:t>具有独立承担民事责任的能力；具有良好的商业信誉和健全的财务会计制度；具有履行合同所必需的设备和专业技术能力；有依法缴纳税收和社会保障资金的良好记录；参加</w:t>
      </w:r>
      <w:r>
        <w:rPr>
          <w:rFonts w:hint="eastAsia" w:ascii="宋体" w:hAnsi="宋体" w:cs="宋体"/>
          <w:color w:val="auto"/>
          <w:sz w:val="24"/>
          <w:szCs w:val="24"/>
          <w:highlight w:val="none"/>
          <w:lang w:val="en-US" w:eastAsia="zh-CN"/>
        </w:rPr>
        <w:t>本次</w:t>
      </w:r>
      <w:r>
        <w:rPr>
          <w:rFonts w:hint="eastAsia" w:ascii="宋体" w:hAnsi="宋体" w:cs="宋体"/>
          <w:color w:val="auto"/>
          <w:sz w:val="24"/>
          <w:szCs w:val="24"/>
          <w:highlight w:val="none"/>
        </w:rPr>
        <w:t>采购活动前三年内，在经营活动中没有重大违法记录</w:t>
      </w:r>
      <w:r>
        <w:rPr>
          <w:rFonts w:hint="eastAsia" w:ascii="宋体" w:hAnsi="宋体" w:cs="宋体"/>
          <w:color w:val="auto"/>
          <w:sz w:val="24"/>
          <w:szCs w:val="24"/>
          <w:highlight w:val="none"/>
          <w:lang w:eastAsia="zh-CN"/>
        </w:rPr>
        <w:t>。</w:t>
      </w:r>
    </w:p>
    <w:p>
      <w:pPr>
        <w:overflowPunct w:val="0"/>
        <w:adjustRightInd w:val="0"/>
        <w:spacing w:line="360" w:lineRule="auto"/>
        <w:ind w:firstLine="660"/>
        <w:jc w:val="left"/>
        <w:textAlignment w:val="baseline"/>
        <w:rPr>
          <w:rFonts w:ascii="宋体"/>
          <w:color w:val="auto"/>
          <w:sz w:val="24"/>
          <w:szCs w:val="24"/>
          <w:highlight w:val="none"/>
        </w:rPr>
      </w:pPr>
      <w:r>
        <w:rPr>
          <w:rFonts w:hint="eastAsia" w:ascii="宋体" w:hAnsi="宋体" w:cs="宋体"/>
          <w:color w:val="auto"/>
          <w:sz w:val="24"/>
          <w:szCs w:val="24"/>
          <w:highlight w:val="none"/>
        </w:rPr>
        <w:t>若与真实情况不符，本公司愿意承担由此而产生的一切后果</w:t>
      </w:r>
      <w:r>
        <w:rPr>
          <w:rFonts w:hint="eastAsia" w:ascii="宋体" w:hAnsi="宋体"/>
          <w:color w:val="auto"/>
          <w:sz w:val="24"/>
          <w:szCs w:val="24"/>
          <w:highlight w:val="none"/>
        </w:rPr>
        <w:t>。</w:t>
      </w:r>
    </w:p>
    <w:p>
      <w:pPr>
        <w:overflowPunct w:val="0"/>
        <w:adjustRightInd w:val="0"/>
        <w:spacing w:line="360" w:lineRule="auto"/>
        <w:ind w:firstLine="420"/>
        <w:jc w:val="left"/>
        <w:textAlignment w:val="baseline"/>
        <w:rPr>
          <w:rFonts w:ascii="宋体"/>
          <w:color w:val="auto"/>
          <w:sz w:val="24"/>
          <w:szCs w:val="24"/>
          <w:highlight w:val="none"/>
        </w:rPr>
      </w:pPr>
    </w:p>
    <w:p>
      <w:pPr>
        <w:overflowPunct w:val="0"/>
        <w:adjustRightInd w:val="0"/>
        <w:spacing w:line="360" w:lineRule="auto"/>
        <w:ind w:firstLine="420"/>
        <w:jc w:val="left"/>
        <w:textAlignment w:val="baseline"/>
        <w:rPr>
          <w:rFonts w:ascii="宋体"/>
          <w:color w:val="auto"/>
          <w:sz w:val="24"/>
          <w:szCs w:val="24"/>
          <w:highlight w:val="none"/>
        </w:rPr>
      </w:pPr>
    </w:p>
    <w:p>
      <w:pPr>
        <w:snapToGrid w:val="0"/>
        <w:spacing w:line="520" w:lineRule="exact"/>
        <w:jc w:val="right"/>
        <w:rPr>
          <w:rFonts w:ascii="宋体" w:cs="宋体"/>
          <w:color w:val="auto"/>
          <w:sz w:val="24"/>
          <w:szCs w:val="24"/>
          <w:highlight w:val="none"/>
        </w:rPr>
      </w:pPr>
      <w:r>
        <w:rPr>
          <w:rFonts w:hint="eastAsia" w:ascii="宋体" w:hAnsi="宋体" w:cs="宋体"/>
          <w:color w:val="auto"/>
          <w:sz w:val="24"/>
          <w:szCs w:val="24"/>
          <w:highlight w:val="none"/>
        </w:rPr>
        <w:t>竞争性磋商响应单位：（加盖公章）</w:t>
      </w:r>
    </w:p>
    <w:p>
      <w:pPr>
        <w:snapToGrid w:val="0"/>
        <w:spacing w:line="520" w:lineRule="exact"/>
        <w:ind w:firstLine="2400" w:firstLineChars="1000"/>
        <w:jc w:val="right"/>
        <w:rPr>
          <w:rFonts w:ascii="宋体" w:cs="宋体"/>
          <w:color w:val="auto"/>
          <w:sz w:val="24"/>
          <w:szCs w:val="24"/>
          <w:highlight w:val="none"/>
        </w:rPr>
      </w:pPr>
      <w:r>
        <w:rPr>
          <w:rFonts w:hint="eastAsia" w:ascii="宋体" w:hAnsi="宋体" w:cs="宋体"/>
          <w:color w:val="auto"/>
          <w:sz w:val="24"/>
          <w:szCs w:val="24"/>
          <w:highlight w:val="none"/>
        </w:rPr>
        <w:t>法定代表人或被授权人：（签字或盖章）</w:t>
      </w:r>
    </w:p>
    <w:p>
      <w:pPr>
        <w:snapToGrid w:val="0"/>
        <w:spacing w:line="520" w:lineRule="exact"/>
        <w:jc w:val="right"/>
        <w:rPr>
          <w:rFonts w:ascii="宋体" w:cs="宋体"/>
          <w:color w:val="auto"/>
          <w:sz w:val="24"/>
          <w:szCs w:val="24"/>
          <w:highlight w:val="none"/>
        </w:rPr>
      </w:pP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p>
      <w:pPr>
        <w:snapToGrid w:val="0"/>
        <w:spacing w:line="520" w:lineRule="exact"/>
        <w:jc w:val="center"/>
        <w:outlineLvl w:val="3"/>
        <w:rPr>
          <w:rFonts w:ascii="宋体" w:cs="宋体"/>
          <w:b/>
          <w:color w:val="auto"/>
          <w:sz w:val="24"/>
          <w:szCs w:val="24"/>
          <w:highlight w:val="none"/>
        </w:rPr>
      </w:pPr>
    </w:p>
    <w:p>
      <w:pPr>
        <w:snapToGrid w:val="0"/>
        <w:spacing w:line="520" w:lineRule="exact"/>
        <w:jc w:val="center"/>
        <w:outlineLvl w:val="3"/>
        <w:rPr>
          <w:rFonts w:ascii="宋体" w:cs="宋体"/>
          <w:b/>
          <w:color w:val="auto"/>
          <w:sz w:val="24"/>
          <w:szCs w:val="24"/>
          <w:highlight w:val="none"/>
        </w:rPr>
      </w:pPr>
    </w:p>
    <w:p>
      <w:pPr>
        <w:snapToGrid w:val="0"/>
        <w:spacing w:line="520" w:lineRule="exact"/>
        <w:jc w:val="center"/>
        <w:outlineLvl w:val="3"/>
        <w:rPr>
          <w:rFonts w:ascii="宋体" w:cs="宋体"/>
          <w:b/>
          <w:color w:val="auto"/>
          <w:sz w:val="24"/>
          <w:szCs w:val="24"/>
          <w:highlight w:val="none"/>
        </w:rPr>
      </w:pPr>
    </w:p>
    <w:p>
      <w:pPr>
        <w:spacing w:line="360" w:lineRule="auto"/>
        <w:jc w:val="center"/>
        <w:rPr>
          <w:rFonts w:ascii="宋体" w:cs="宋体"/>
          <w:b/>
          <w:color w:val="auto"/>
          <w:sz w:val="24"/>
          <w:szCs w:val="24"/>
          <w:highlight w:val="none"/>
        </w:rPr>
      </w:pPr>
      <w:r>
        <w:rPr>
          <w:color w:val="auto"/>
          <w:sz w:val="24"/>
          <w:szCs w:val="24"/>
          <w:highlight w:val="none"/>
        </w:rPr>
        <w:br w:type="page"/>
      </w:r>
      <w:r>
        <w:rPr>
          <w:rFonts w:hint="eastAsia" w:ascii="宋体" w:hAnsi="宋体" w:cs="宋体"/>
          <w:b/>
          <w:color w:val="auto"/>
          <w:sz w:val="24"/>
          <w:szCs w:val="24"/>
          <w:highlight w:val="none"/>
          <w:lang w:eastAsia="zh-CN"/>
        </w:rPr>
        <w:t>5.</w:t>
      </w:r>
      <w:r>
        <w:rPr>
          <w:rFonts w:hint="eastAsia" w:ascii="宋体" w:hAnsi="宋体" w:cs="宋体"/>
          <w:b/>
          <w:color w:val="auto"/>
          <w:sz w:val="24"/>
          <w:szCs w:val="24"/>
          <w:highlight w:val="none"/>
        </w:rPr>
        <w:t>竞争性磋商响应函（格式不得变动）</w:t>
      </w:r>
    </w:p>
    <w:p>
      <w:pPr>
        <w:snapToGrid w:val="0"/>
        <w:spacing w:line="520" w:lineRule="exact"/>
        <w:rPr>
          <w:rFonts w:ascii="宋体" w:cs="宋体"/>
          <w:color w:val="auto"/>
          <w:sz w:val="24"/>
          <w:szCs w:val="24"/>
          <w:highlight w:val="none"/>
          <w:u w:val="single"/>
        </w:rPr>
      </w:pPr>
    </w:p>
    <w:p>
      <w:pPr>
        <w:snapToGrid w:val="0"/>
        <w:spacing w:line="520" w:lineRule="exact"/>
        <w:rPr>
          <w:rFonts w:ascii="宋体" w:cs="宋体"/>
          <w:color w:val="auto"/>
          <w:sz w:val="24"/>
          <w:szCs w:val="24"/>
          <w:highlight w:val="none"/>
          <w:u w:val="single"/>
        </w:rPr>
      </w:pPr>
      <w:r>
        <w:rPr>
          <w:rFonts w:hint="eastAsia" w:ascii="宋体" w:hAnsi="宋体" w:cs="宋体"/>
          <w:color w:val="auto"/>
          <w:sz w:val="24"/>
          <w:szCs w:val="24"/>
          <w:highlight w:val="none"/>
          <w:u w:val="single"/>
          <w:lang w:eastAsia="zh-CN"/>
        </w:rPr>
        <w:t>南通市第三人民医院</w:t>
      </w:r>
      <w:r>
        <w:rPr>
          <w:rFonts w:hint="eastAsia" w:ascii="宋体" w:hAnsi="宋体" w:cs="宋体"/>
          <w:color w:val="auto"/>
          <w:sz w:val="24"/>
          <w:szCs w:val="24"/>
          <w:highlight w:val="none"/>
          <w:u w:val="single"/>
        </w:rPr>
        <w:t>：</w:t>
      </w:r>
    </w:p>
    <w:p>
      <w:pPr>
        <w:snapToGrid w:val="0"/>
        <w:spacing w:line="52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rPr>
        <w:t>依据贵单位委托代理机构组织的</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u w:val="single"/>
        </w:rPr>
        <w:t>　　　</w:t>
      </w:r>
      <w:r>
        <w:rPr>
          <w:rFonts w:hint="eastAsia" w:ascii="宋体" w:hAnsi="宋体" w:cs="宋体"/>
          <w:color w:val="auto"/>
          <w:sz w:val="24"/>
          <w:szCs w:val="24"/>
          <w:highlight w:val="none"/>
        </w:rPr>
        <w:t>（磋商项目名称</w:t>
      </w:r>
      <w:r>
        <w:rPr>
          <w:rFonts w:ascii="宋体" w:hAnsi="宋体" w:cs="宋体"/>
          <w:color w:val="auto"/>
          <w:sz w:val="24"/>
          <w:szCs w:val="24"/>
          <w:highlight w:val="none"/>
        </w:rPr>
        <w:t>)</w:t>
      </w:r>
      <w:r>
        <w:rPr>
          <w:rFonts w:hint="eastAsia" w:ascii="宋体" w:hAnsi="宋体" w:cs="宋体"/>
          <w:color w:val="auto"/>
          <w:sz w:val="24"/>
          <w:szCs w:val="24"/>
          <w:highlight w:val="none"/>
        </w:rPr>
        <w:t>项目竞争性磋商，我方授权</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（姓名）</w:t>
      </w:r>
      <w:r>
        <w:rPr>
          <w:rFonts w:ascii="宋体" w:hAnsi="宋体" w:cs="宋体"/>
          <w:color w:val="auto"/>
          <w:sz w:val="24"/>
          <w:szCs w:val="24"/>
          <w:highlight w:val="none"/>
          <w:u w:val="single"/>
        </w:rPr>
        <w:t xml:space="preserve">    </w:t>
      </w:r>
      <w:r>
        <w:rPr>
          <w:rFonts w:hint="eastAsia" w:ascii="宋体" w:hAnsi="宋体" w:cs="宋体"/>
          <w:color w:val="auto"/>
          <w:sz w:val="24"/>
          <w:szCs w:val="24"/>
          <w:highlight w:val="none"/>
        </w:rPr>
        <w:t>（职务）为全权代表参加该项目的磋商工作，全权处理本次竞争性磋商的有关事宜。同时，我公司声明如下：</w:t>
      </w:r>
    </w:p>
    <w:p>
      <w:pPr>
        <w:snapToGrid w:val="0"/>
        <w:spacing w:line="52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eastAsia="zh-CN"/>
        </w:rPr>
        <w:t>1.</w:t>
      </w:r>
      <w:r>
        <w:rPr>
          <w:rFonts w:hint="eastAsia" w:ascii="宋体" w:hAnsi="宋体" w:cs="宋体"/>
          <w:color w:val="auto"/>
          <w:sz w:val="24"/>
          <w:szCs w:val="24"/>
          <w:highlight w:val="none"/>
        </w:rPr>
        <w:t>同意并接受竞争性磋商文件的各项要求，遵守竞争性磋商文件中的各项规定，按竞争性磋商文件的要求提供报价。</w:t>
      </w:r>
    </w:p>
    <w:p>
      <w:pPr>
        <w:snapToGrid w:val="0"/>
        <w:spacing w:line="52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eastAsia="zh-CN"/>
        </w:rPr>
        <w:t>2.</w:t>
      </w:r>
      <w:r>
        <w:rPr>
          <w:rFonts w:hint="eastAsia" w:ascii="宋体" w:hAnsi="宋体" w:cs="宋体"/>
          <w:color w:val="auto"/>
          <w:sz w:val="24"/>
          <w:szCs w:val="24"/>
          <w:highlight w:val="none"/>
        </w:rPr>
        <w:t>我公司已经详细阅读了竞争性磋商文件的全部内容，我方已完全清晰理解竞争性磋商文件的要求，不存在任何含糊不清和误解之处，同意放弃对竞争性磋商文件所表述的内容提出异议和质疑的权利。</w:t>
      </w:r>
    </w:p>
    <w:p>
      <w:pPr>
        <w:snapToGrid w:val="0"/>
        <w:spacing w:line="52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eastAsia="zh-CN"/>
        </w:rPr>
        <w:t>3.</w:t>
      </w:r>
      <w:r>
        <w:rPr>
          <w:rFonts w:hint="eastAsia" w:ascii="宋体" w:hAnsi="宋体" w:cs="宋体"/>
          <w:color w:val="auto"/>
          <w:sz w:val="24"/>
          <w:szCs w:val="24"/>
          <w:highlight w:val="none"/>
        </w:rPr>
        <w:t>我公司已毫无保留地向贵方提供一切所需的证明材料。</w:t>
      </w:r>
    </w:p>
    <w:p>
      <w:pPr>
        <w:snapToGrid w:val="0"/>
        <w:spacing w:line="52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eastAsia="zh-CN"/>
        </w:rPr>
        <w:t>4.</w:t>
      </w:r>
      <w:r>
        <w:rPr>
          <w:rFonts w:hint="eastAsia" w:ascii="宋体" w:hAnsi="宋体" w:cs="宋体"/>
          <w:color w:val="auto"/>
          <w:sz w:val="24"/>
          <w:szCs w:val="24"/>
          <w:highlight w:val="none"/>
        </w:rPr>
        <w:t>我公司承诺在本次磋商响应中提供的一切文件，无论是原件还是复印件均真实有效，绝无任何虚假、伪造和夸大的成份。否则，愿承担相应的后果和法律责任。</w:t>
      </w:r>
    </w:p>
    <w:p>
      <w:pPr>
        <w:snapToGrid w:val="0"/>
        <w:spacing w:line="520" w:lineRule="exact"/>
        <w:ind w:left="479" w:leftChars="228"/>
        <w:rPr>
          <w:rFonts w:ascii="宋体" w:hAnsi="宋体" w:cs="宋体"/>
          <w:color w:val="auto"/>
          <w:sz w:val="24"/>
          <w:szCs w:val="24"/>
          <w:highlight w:val="none"/>
        </w:rPr>
      </w:pPr>
      <w:r>
        <w:rPr>
          <w:rFonts w:hint="eastAsia" w:ascii="宋体" w:hAnsi="宋体" w:cs="宋体"/>
          <w:color w:val="auto"/>
          <w:sz w:val="24"/>
          <w:szCs w:val="24"/>
          <w:highlight w:val="none"/>
          <w:lang w:eastAsia="zh-CN"/>
        </w:rPr>
        <w:t>5.</w:t>
      </w:r>
      <w:r>
        <w:rPr>
          <w:rFonts w:hint="eastAsia" w:ascii="宋体" w:hAnsi="宋体" w:cs="宋体"/>
          <w:color w:val="auto"/>
          <w:sz w:val="24"/>
          <w:szCs w:val="24"/>
          <w:highlight w:val="none"/>
        </w:rPr>
        <w:t>一旦成交，我方承诺无正当理由拒绝签订合同，将被贵方取消成交资</w:t>
      </w:r>
    </w:p>
    <w:p>
      <w:pPr>
        <w:snapToGrid w:val="0"/>
        <w:spacing w:line="520" w:lineRule="exact"/>
        <w:ind w:firstLine="480" w:firstLineChars="200"/>
        <w:rPr>
          <w:rFonts w:ascii="宋体" w:cs="宋体"/>
          <w:color w:val="auto"/>
          <w:sz w:val="24"/>
          <w:szCs w:val="24"/>
          <w:highlight w:val="none"/>
        </w:rPr>
      </w:pPr>
      <w:r>
        <w:rPr>
          <w:rFonts w:hint="eastAsia" w:ascii="宋体" w:hAnsi="宋体" w:cs="宋体"/>
          <w:color w:val="auto"/>
          <w:sz w:val="24"/>
          <w:szCs w:val="24"/>
          <w:highlight w:val="none"/>
          <w:lang w:eastAsia="zh-CN"/>
        </w:rPr>
        <w:t>6.</w:t>
      </w:r>
      <w:r>
        <w:rPr>
          <w:rFonts w:hint="eastAsia" w:ascii="宋体" w:hAnsi="宋体" w:cs="宋体"/>
          <w:b/>
          <w:color w:val="auto"/>
          <w:sz w:val="24"/>
          <w:szCs w:val="24"/>
          <w:highlight w:val="none"/>
        </w:rPr>
        <w:t>一旦成交，我方将根据竞争性磋商文件的规定，严格履行合同规定的责任和义务，并保证在竞争性磋商文件中规定的时间期限内完成合同项目。</w:t>
      </w:r>
    </w:p>
    <w:p>
      <w:pPr>
        <w:snapToGrid w:val="0"/>
        <w:spacing w:line="520" w:lineRule="exact"/>
        <w:ind w:firstLine="480" w:firstLineChars="200"/>
        <w:rPr>
          <w:rFonts w:ascii="宋体" w:cs="宋体"/>
          <w:color w:val="auto"/>
          <w:sz w:val="24"/>
          <w:szCs w:val="24"/>
          <w:highlight w:val="none"/>
        </w:rPr>
      </w:pPr>
    </w:p>
    <w:p>
      <w:pPr>
        <w:snapToGrid w:val="0"/>
        <w:spacing w:line="520" w:lineRule="exact"/>
        <w:jc w:val="right"/>
        <w:rPr>
          <w:rFonts w:ascii="宋体" w:cs="宋体"/>
          <w:color w:val="auto"/>
          <w:sz w:val="24"/>
          <w:szCs w:val="24"/>
          <w:highlight w:val="none"/>
        </w:rPr>
      </w:pPr>
      <w:r>
        <w:rPr>
          <w:rFonts w:hint="eastAsia" w:ascii="宋体" w:hAnsi="宋体" w:cs="宋体"/>
          <w:color w:val="auto"/>
          <w:sz w:val="24"/>
          <w:szCs w:val="24"/>
          <w:highlight w:val="none"/>
        </w:rPr>
        <w:t>竞争性磋商响应单位：（加盖公章）</w:t>
      </w:r>
    </w:p>
    <w:p>
      <w:pPr>
        <w:snapToGrid w:val="0"/>
        <w:spacing w:line="520" w:lineRule="exact"/>
        <w:ind w:firstLine="2400" w:firstLineChars="1000"/>
        <w:jc w:val="right"/>
        <w:rPr>
          <w:rFonts w:ascii="宋体" w:cs="宋体"/>
          <w:color w:val="auto"/>
          <w:sz w:val="24"/>
          <w:szCs w:val="24"/>
          <w:highlight w:val="none"/>
        </w:rPr>
      </w:pPr>
      <w:r>
        <w:rPr>
          <w:rFonts w:hint="eastAsia" w:ascii="宋体" w:hAnsi="宋体" w:cs="宋体"/>
          <w:color w:val="auto"/>
          <w:sz w:val="24"/>
          <w:szCs w:val="24"/>
          <w:highlight w:val="none"/>
        </w:rPr>
        <w:t>法定代表人或被授权人：（签字或盖章）</w:t>
      </w:r>
    </w:p>
    <w:p>
      <w:pPr>
        <w:snapToGrid w:val="0"/>
        <w:spacing w:line="520" w:lineRule="exact"/>
        <w:jc w:val="right"/>
        <w:rPr>
          <w:rFonts w:ascii="宋体" w:cs="宋体"/>
          <w:color w:val="auto"/>
          <w:sz w:val="24"/>
          <w:szCs w:val="24"/>
          <w:highlight w:val="none"/>
        </w:rPr>
      </w:pPr>
      <w:r>
        <w:rPr>
          <w:rFonts w:ascii="宋体" w:hAnsi="宋体" w:cs="宋体"/>
          <w:color w:val="auto"/>
          <w:sz w:val="24"/>
          <w:szCs w:val="24"/>
          <w:highlight w:val="none"/>
        </w:rPr>
        <w:t xml:space="preserve"> </w:t>
      </w:r>
      <w:r>
        <w:rPr>
          <w:rFonts w:hint="eastAsia" w:ascii="宋体" w:hAnsi="宋体" w:cs="宋体"/>
          <w:color w:val="auto"/>
          <w:sz w:val="24"/>
          <w:szCs w:val="24"/>
          <w:highlight w:val="none"/>
        </w:rPr>
        <w:t>年</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月</w:t>
      </w:r>
      <w:r>
        <w:rPr>
          <w:rFonts w:ascii="宋体" w:hAnsi="宋体" w:cs="宋体"/>
          <w:color w:val="auto"/>
          <w:sz w:val="24"/>
          <w:szCs w:val="24"/>
          <w:highlight w:val="none"/>
        </w:rPr>
        <w:t xml:space="preserve">     </w:t>
      </w:r>
      <w:r>
        <w:rPr>
          <w:rFonts w:hint="eastAsia" w:ascii="宋体" w:hAnsi="宋体" w:cs="宋体"/>
          <w:color w:val="auto"/>
          <w:sz w:val="24"/>
          <w:szCs w:val="24"/>
          <w:highlight w:val="none"/>
        </w:rPr>
        <w:t>日</w:t>
      </w:r>
    </w:p>
    <w:p>
      <w:pPr>
        <w:snapToGrid w:val="0"/>
        <w:spacing w:line="520" w:lineRule="exact"/>
        <w:jc w:val="center"/>
        <w:outlineLvl w:val="3"/>
        <w:rPr>
          <w:rFonts w:ascii="宋体" w:cs="宋体"/>
          <w:b/>
          <w:color w:val="auto"/>
          <w:sz w:val="24"/>
          <w:szCs w:val="24"/>
          <w:highlight w:val="none"/>
        </w:rPr>
      </w:pPr>
    </w:p>
    <w:p>
      <w:pPr>
        <w:snapToGrid w:val="0"/>
        <w:spacing w:line="520" w:lineRule="exact"/>
        <w:jc w:val="center"/>
        <w:outlineLvl w:val="3"/>
        <w:rPr>
          <w:rFonts w:ascii="宋体" w:cs="宋体"/>
          <w:b/>
          <w:color w:val="auto"/>
          <w:sz w:val="24"/>
          <w:szCs w:val="24"/>
          <w:highlight w:val="none"/>
        </w:rPr>
      </w:pPr>
    </w:p>
    <w:p>
      <w:pPr>
        <w:snapToGrid w:val="0"/>
        <w:spacing w:line="520" w:lineRule="exact"/>
        <w:jc w:val="both"/>
        <w:outlineLvl w:val="3"/>
        <w:rPr>
          <w:rFonts w:ascii="宋体" w:cs="宋体"/>
          <w:color w:val="auto"/>
          <w:sz w:val="24"/>
          <w:szCs w:val="24"/>
          <w:highlight w:val="none"/>
        </w:rPr>
      </w:pPr>
      <w:r>
        <w:rPr>
          <w:rFonts w:ascii="宋体" w:hAnsi="宋体" w:cs="宋体"/>
          <w:color w:val="auto"/>
          <w:sz w:val="24"/>
          <w:szCs w:val="24"/>
          <w:highlight w:val="none"/>
        </w:rPr>
        <w:t xml:space="preserve"> </w:t>
      </w:r>
    </w:p>
    <w:p>
      <w:pPr>
        <w:pStyle w:val="2"/>
        <w:spacing w:line="360" w:lineRule="auto"/>
        <w:ind w:firstLine="480" w:firstLineChars="0"/>
        <w:jc w:val="center"/>
        <w:rPr>
          <w:rFonts w:ascii="宋体" w:cs="宋体"/>
          <w:b/>
          <w:color w:val="auto"/>
          <w:szCs w:val="24"/>
          <w:highlight w:val="none"/>
        </w:rPr>
      </w:pPr>
      <w:r>
        <w:rPr>
          <w:color w:val="auto"/>
          <w:szCs w:val="24"/>
          <w:highlight w:val="none"/>
        </w:rPr>
        <w:br w:type="page"/>
      </w:r>
      <w:r>
        <w:rPr>
          <w:rFonts w:hint="eastAsia"/>
          <w:color w:val="auto"/>
          <w:szCs w:val="24"/>
          <w:highlight w:val="none"/>
          <w:lang w:val="en-US" w:eastAsia="zh-CN"/>
        </w:rPr>
        <w:t>6.</w:t>
      </w:r>
      <w:r>
        <w:rPr>
          <w:rFonts w:hint="eastAsia" w:ascii="宋体" w:hAnsi="宋体" w:cs="宋体"/>
          <w:b/>
          <w:color w:val="auto"/>
          <w:szCs w:val="24"/>
          <w:highlight w:val="none"/>
        </w:rPr>
        <w:t>磋商响应报价总表（首次）</w:t>
      </w:r>
    </w:p>
    <w:tbl>
      <w:tblPr>
        <w:tblStyle w:val="52"/>
        <w:tblpPr w:leftFromText="180" w:rightFromText="180" w:vertAnchor="text" w:horzAnchor="page" w:tblpXSpec="center" w:tblpY="460"/>
        <w:tblOverlap w:val="never"/>
        <w:tblW w:w="84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63"/>
        <w:gridCol w:w="53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6" w:hRule="exact"/>
          <w:jc w:val="center"/>
        </w:trPr>
        <w:tc>
          <w:tcPr>
            <w:tcW w:w="3063" w:type="dxa"/>
            <w:noWrap w:val="0"/>
            <w:vAlign w:val="center"/>
          </w:tcPr>
          <w:p>
            <w:pPr>
              <w:spacing w:line="520" w:lineRule="exact"/>
              <w:ind w:left="1" w:firstLine="27" w:firstLineChars="11"/>
              <w:jc w:val="center"/>
              <w:textAlignment w:val="bottom"/>
              <w:rPr>
                <w:rFonts w:hint="eastAsia" w:ascii="宋体" w:hAnsi="宋体" w:eastAsia="宋体" w:cs="宋体"/>
                <w:b/>
                <w:color w:val="auto"/>
                <w:sz w:val="24"/>
                <w:szCs w:val="24"/>
                <w:highlight w:val="none"/>
              </w:rPr>
            </w:pPr>
            <w:r>
              <w:rPr>
                <w:rFonts w:hint="eastAsia" w:ascii="宋体" w:hAnsi="宋体" w:eastAsia="宋体" w:cs="宋体"/>
                <w:b/>
                <w:color w:val="auto"/>
                <w:kern w:val="0"/>
                <w:sz w:val="24"/>
                <w:szCs w:val="24"/>
                <w:highlight w:val="none"/>
              </w:rPr>
              <w:t>项目名称</w:t>
            </w:r>
          </w:p>
        </w:tc>
        <w:tc>
          <w:tcPr>
            <w:tcW w:w="5396" w:type="dxa"/>
            <w:noWrap w:val="0"/>
            <w:vAlign w:val="center"/>
          </w:tcPr>
          <w:p>
            <w:pPr>
              <w:spacing w:line="520" w:lineRule="exact"/>
              <w:ind w:left="1" w:firstLine="27" w:firstLineChars="11"/>
              <w:jc w:val="center"/>
              <w:textAlignment w:val="bottom"/>
              <w:rPr>
                <w:rFonts w:hint="eastAsia" w:ascii="宋体" w:hAnsi="宋体" w:eastAsia="宋体" w:cs="宋体"/>
                <w:b/>
                <w:color w:val="auto"/>
                <w:kern w:val="0"/>
                <w:sz w:val="24"/>
                <w:szCs w:val="24"/>
                <w:highlight w:val="none"/>
              </w:rPr>
            </w:pPr>
            <w:r>
              <w:rPr>
                <w:rFonts w:hint="eastAsia" w:ascii="宋体" w:hAnsi="宋体" w:eastAsia="宋体" w:cs="宋体"/>
                <w:b/>
                <w:color w:val="auto"/>
                <w:sz w:val="24"/>
                <w:szCs w:val="24"/>
                <w:highlight w:val="none"/>
              </w:rPr>
              <w:t>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6" w:hRule="exact"/>
          <w:jc w:val="center"/>
        </w:trPr>
        <w:tc>
          <w:tcPr>
            <w:tcW w:w="3063" w:type="dxa"/>
            <w:noWrap w:val="0"/>
            <w:vAlign w:val="center"/>
          </w:tcPr>
          <w:p>
            <w:pPr>
              <w:widowControl/>
              <w:jc w:val="center"/>
              <w:rPr>
                <w:rFonts w:hint="eastAsia" w:ascii="宋体" w:hAnsi="宋体" w:eastAsia="宋体" w:cs="宋体"/>
                <w:color w:val="auto"/>
                <w:kern w:val="0"/>
                <w:sz w:val="20"/>
                <w:highlight w:val="none"/>
                <w:u w:val="none"/>
              </w:rPr>
            </w:pPr>
            <w:r>
              <w:rPr>
                <w:rFonts w:hint="eastAsia" w:ascii="宋体" w:hAnsi="宋体" w:eastAsia="宋体" w:cs="宋体"/>
                <w:bCs/>
                <w:color w:val="auto"/>
                <w:sz w:val="21"/>
                <w:szCs w:val="21"/>
                <w:highlight w:val="none"/>
                <w:u w:val="none"/>
                <w:lang w:eastAsia="zh-CN"/>
              </w:rPr>
              <w:t>南通市第三人民医院</w:t>
            </w:r>
            <w:r>
              <w:rPr>
                <w:rFonts w:hint="eastAsia" w:ascii="宋体" w:hAnsi="宋体" w:cs="宋体"/>
                <w:bCs/>
                <w:color w:val="auto"/>
                <w:sz w:val="21"/>
                <w:szCs w:val="21"/>
                <w:highlight w:val="none"/>
                <w:u w:val="none"/>
                <w:lang w:eastAsia="zh-CN"/>
              </w:rPr>
              <w:t>单病种数据上报</w:t>
            </w:r>
            <w:r>
              <w:rPr>
                <w:rFonts w:hint="eastAsia" w:ascii="宋体" w:hAnsi="宋体" w:eastAsia="宋体" w:cs="宋体"/>
                <w:bCs/>
                <w:color w:val="auto"/>
                <w:sz w:val="21"/>
                <w:szCs w:val="21"/>
                <w:highlight w:val="none"/>
                <w:u w:val="none"/>
                <w:lang w:eastAsia="zh-CN"/>
              </w:rPr>
              <w:t>项目</w:t>
            </w:r>
          </w:p>
        </w:tc>
        <w:tc>
          <w:tcPr>
            <w:tcW w:w="5396" w:type="dxa"/>
            <w:noWrap w:val="0"/>
            <w:vAlign w:val="center"/>
          </w:tcPr>
          <w:p>
            <w:pPr>
              <w:widowControl/>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u w:val="single"/>
                <w:lang w:val="en-US" w:eastAsia="zh-CN"/>
              </w:rPr>
              <w:t xml:space="preserve">                  </w:t>
            </w:r>
            <w:r>
              <w:rPr>
                <w:rFonts w:hint="eastAsia" w:ascii="宋体" w:hAnsi="宋体" w:eastAsia="宋体" w:cs="宋体"/>
                <w:color w:val="auto"/>
                <w:kern w:val="0"/>
                <w:sz w:val="20"/>
                <w:highlight w:val="none"/>
                <w:lang w:val="en-US" w:eastAsia="zh-CN"/>
              </w:rPr>
              <w:t xml:space="preserve"> </w:t>
            </w:r>
            <w:r>
              <w:rPr>
                <w:rFonts w:hint="eastAsia" w:ascii="宋体" w:hAnsi="宋体" w:eastAsia="宋体" w:cs="宋体"/>
                <w:color w:val="auto"/>
                <w:kern w:val="0"/>
                <w:sz w:val="20"/>
                <w:highlight w:val="none"/>
              </w:rPr>
              <w:t>元</w:t>
            </w:r>
          </w:p>
          <w:p>
            <w:pPr>
              <w:widowControl/>
              <w:jc w:val="center"/>
              <w:rPr>
                <w:rFonts w:hint="eastAsia" w:ascii="宋体" w:hAnsi="宋体" w:eastAsia="宋体" w:cs="宋体"/>
                <w:color w:val="auto"/>
                <w:kern w:val="0"/>
                <w:sz w:val="20"/>
                <w:highlight w:val="none"/>
              </w:rPr>
            </w:pPr>
            <w:r>
              <w:rPr>
                <w:rFonts w:hint="eastAsia" w:ascii="宋体" w:hAnsi="宋体" w:eastAsia="宋体" w:cs="宋体"/>
                <w:color w:val="auto"/>
                <w:kern w:val="0"/>
                <w:sz w:val="20"/>
                <w:highlight w:val="none"/>
              </w:rPr>
              <w:t>（人民币大写：</w:t>
            </w:r>
            <w:r>
              <w:rPr>
                <w:rFonts w:hint="eastAsia" w:ascii="宋体" w:hAnsi="宋体" w:eastAsia="宋体" w:cs="宋体"/>
                <w:color w:val="auto"/>
                <w:kern w:val="0"/>
                <w:sz w:val="20"/>
                <w:highlight w:val="none"/>
                <w:u w:val="single"/>
                <w:lang w:val="en-US" w:eastAsia="zh-CN"/>
              </w:rPr>
              <w:t xml:space="preserve">             </w:t>
            </w:r>
            <w:r>
              <w:rPr>
                <w:rFonts w:hint="eastAsia" w:ascii="宋体" w:hAnsi="宋体" w:eastAsia="宋体" w:cs="宋体"/>
                <w:color w:val="auto"/>
                <w:kern w:val="0"/>
                <w:sz w:val="20"/>
                <w:highlight w:val="none"/>
                <w:lang w:val="en-US" w:eastAsia="zh-CN"/>
              </w:rPr>
              <w:t xml:space="preserve"> </w:t>
            </w:r>
            <w:r>
              <w:rPr>
                <w:rFonts w:hint="eastAsia" w:ascii="宋体" w:hAnsi="宋体" w:eastAsia="宋体" w:cs="宋体"/>
                <w:color w:val="auto"/>
                <w:kern w:val="0"/>
                <w:sz w:val="20"/>
                <w:highlight w:val="none"/>
              </w:rPr>
              <w:t>）</w:t>
            </w:r>
          </w:p>
        </w:tc>
      </w:tr>
    </w:tbl>
    <w:p>
      <w:pPr>
        <w:kinsoku w:val="0"/>
        <w:topLinePunct/>
        <w:snapToGrid w:val="0"/>
        <w:spacing w:line="500" w:lineRule="exact"/>
        <w:rPr>
          <w:rFonts w:hint="eastAsia" w:ascii="宋体" w:hAnsi="宋体" w:eastAsia="宋体" w:cs="宋体"/>
          <w:color w:val="auto"/>
          <w:sz w:val="24"/>
          <w:szCs w:val="21"/>
          <w:highlight w:val="none"/>
        </w:rPr>
      </w:pPr>
    </w:p>
    <w:p>
      <w:pPr>
        <w:kinsoku w:val="0"/>
        <w:topLinePunct/>
        <w:snapToGrid w:val="0"/>
        <w:spacing w:line="500" w:lineRule="exact"/>
        <w:rPr>
          <w:rFonts w:hint="eastAsia" w:ascii="宋体" w:hAnsi="宋体" w:eastAsia="宋体" w:cs="宋体"/>
          <w:color w:val="auto"/>
          <w:sz w:val="24"/>
          <w:szCs w:val="21"/>
          <w:highlight w:val="none"/>
        </w:rPr>
      </w:pPr>
    </w:p>
    <w:p>
      <w:pPr>
        <w:kinsoku w:val="0"/>
        <w:topLinePunct/>
        <w:snapToGrid w:val="0"/>
        <w:spacing w:line="50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lang w:eastAsia="zh-CN"/>
        </w:rPr>
        <w:t>供应商</w:t>
      </w:r>
      <w:r>
        <w:rPr>
          <w:rFonts w:hint="eastAsia" w:ascii="宋体" w:hAnsi="宋体" w:eastAsia="宋体" w:cs="宋体"/>
          <w:color w:val="auto"/>
          <w:sz w:val="24"/>
          <w:szCs w:val="21"/>
          <w:highlight w:val="none"/>
        </w:rPr>
        <w:t xml:space="preserve">：（盖章）             </w:t>
      </w:r>
    </w:p>
    <w:p>
      <w:pPr>
        <w:kinsoku w:val="0"/>
        <w:topLinePunct/>
        <w:snapToGrid w:val="0"/>
        <w:spacing w:line="50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法定代表人或被授权人（签字或盖章）：</w:t>
      </w:r>
    </w:p>
    <w:p>
      <w:pPr>
        <w:kinsoku w:val="0"/>
        <w:topLinePunct/>
        <w:snapToGrid w:val="0"/>
        <w:spacing w:line="500" w:lineRule="exact"/>
        <w:rPr>
          <w:rFonts w:hint="eastAsia" w:ascii="宋体" w:hAnsi="宋体" w:eastAsia="宋体" w:cs="宋体"/>
          <w:color w:val="auto"/>
          <w:sz w:val="24"/>
          <w:szCs w:val="21"/>
          <w:highlight w:val="none"/>
        </w:rPr>
      </w:pPr>
      <w:r>
        <w:rPr>
          <w:rFonts w:hint="eastAsia" w:ascii="宋体" w:hAnsi="宋体" w:eastAsia="宋体" w:cs="宋体"/>
          <w:color w:val="auto"/>
          <w:sz w:val="24"/>
          <w:szCs w:val="21"/>
          <w:highlight w:val="none"/>
        </w:rPr>
        <w:t>日期：</w:t>
      </w:r>
    </w:p>
    <w:p>
      <w:pPr>
        <w:snapToGrid w:val="0"/>
        <w:spacing w:line="500" w:lineRule="exact"/>
        <w:rPr>
          <w:rFonts w:hint="eastAsia" w:ascii="宋体" w:hAnsi="宋体" w:eastAsia="宋体" w:cs="宋体"/>
          <w:b/>
          <w:bCs/>
          <w:color w:val="auto"/>
          <w:sz w:val="24"/>
          <w:szCs w:val="21"/>
          <w:highlight w:val="none"/>
        </w:rPr>
      </w:pPr>
    </w:p>
    <w:p>
      <w:pPr>
        <w:kinsoku w:val="0"/>
        <w:topLinePunct/>
        <w:snapToGrid w:val="0"/>
        <w:spacing w:line="520" w:lineRule="exact"/>
        <w:rPr>
          <w:rFonts w:hint="eastAsia" w:ascii="宋体" w:hAnsi="宋体" w:eastAsia="宋体" w:cs="宋体"/>
          <w:b/>
          <w:sz w:val="24"/>
          <w:szCs w:val="24"/>
          <w:highlight w:val="none"/>
        </w:rPr>
      </w:pPr>
      <w:r>
        <w:rPr>
          <w:rFonts w:hint="eastAsia" w:ascii="宋体" w:hAnsi="宋体" w:eastAsia="宋体" w:cs="宋体"/>
          <w:b/>
          <w:sz w:val="24"/>
          <w:szCs w:val="24"/>
          <w:highlight w:val="none"/>
        </w:rPr>
        <w:t>注：</w:t>
      </w:r>
    </w:p>
    <w:p>
      <w:pPr>
        <w:numPr>
          <w:ilvl w:val="0"/>
          <w:numId w:val="3"/>
        </w:numPr>
        <w:kinsoku w:val="0"/>
        <w:topLinePunct/>
        <w:snapToGrid w:val="0"/>
        <w:spacing w:line="360" w:lineRule="auto"/>
        <w:ind w:firstLine="240" w:firstLineChars="100"/>
        <w:rPr>
          <w:rFonts w:ascii="宋体" w:hAnsi="宋体" w:cs="宋体"/>
          <w:sz w:val="24"/>
          <w:szCs w:val="24"/>
          <w:highlight w:val="none"/>
        </w:rPr>
      </w:pPr>
      <w:r>
        <w:rPr>
          <w:rFonts w:hint="eastAsia" w:ascii="宋体" w:hAnsi="宋体" w:eastAsia="宋体" w:cs="宋体"/>
          <w:sz w:val="24"/>
          <w:szCs w:val="24"/>
          <w:highlight w:val="none"/>
        </w:rPr>
        <w:t>本表为格式表，不得自行改动，必须提供。</w:t>
      </w:r>
    </w:p>
    <w:p>
      <w:pPr>
        <w:numPr>
          <w:ilvl w:val="0"/>
          <w:numId w:val="3"/>
        </w:numPr>
        <w:kinsoku w:val="0"/>
        <w:topLinePunct/>
        <w:snapToGrid w:val="0"/>
        <w:spacing w:line="360" w:lineRule="auto"/>
        <w:ind w:firstLine="240" w:firstLineChars="100"/>
        <w:rPr>
          <w:rFonts w:hint="eastAsia" w:ascii="宋体" w:hAnsi="宋体" w:eastAsia="宋体" w:cs="宋体"/>
          <w:sz w:val="24"/>
          <w:szCs w:val="24"/>
          <w:highlight w:val="none"/>
        </w:rPr>
      </w:pPr>
      <w:r>
        <w:rPr>
          <w:rFonts w:hint="eastAsia" w:ascii="宋体" w:hAnsi="宋体" w:eastAsia="宋体" w:cs="宋体"/>
          <w:sz w:val="24"/>
          <w:szCs w:val="24"/>
          <w:highlight w:val="none"/>
        </w:rPr>
        <w:t>报价</w:t>
      </w:r>
      <w:r>
        <w:rPr>
          <w:rFonts w:hint="eastAsia" w:ascii="宋体" w:hAnsi="宋体" w:eastAsia="宋体" w:cs="宋体"/>
          <w:color w:val="auto"/>
          <w:sz w:val="24"/>
          <w:szCs w:val="24"/>
          <w:highlight w:val="none"/>
        </w:rPr>
        <w:t>包含完成本项目所需的人工、调研费、设计费、系统建设、资料费、安装调试费、税费、企业管理费、合理利润、为完成本项目所必须的其他辅助工作的相关费用及响应</w:t>
      </w:r>
      <w:r>
        <w:rPr>
          <w:rFonts w:hint="eastAsia" w:ascii="宋体" w:hAnsi="宋体" w:cs="宋体"/>
          <w:color w:val="auto"/>
          <w:sz w:val="24"/>
          <w:szCs w:val="24"/>
          <w:highlight w:val="none"/>
          <w:lang w:val="en-US" w:eastAsia="zh-CN"/>
        </w:rPr>
        <w:t>磋商</w:t>
      </w:r>
      <w:r>
        <w:rPr>
          <w:rFonts w:hint="eastAsia" w:ascii="宋体" w:hAnsi="宋体" w:eastAsia="宋体" w:cs="宋体"/>
          <w:color w:val="auto"/>
          <w:sz w:val="24"/>
          <w:szCs w:val="24"/>
          <w:highlight w:val="none"/>
        </w:rPr>
        <w:t>文件要求等一切费用，即从项目招标到最终成果提交获得验收通过前的所有费用。</w:t>
      </w:r>
    </w:p>
    <w:p>
      <w:pPr>
        <w:kinsoku w:val="0"/>
        <w:topLinePunct/>
        <w:snapToGrid w:val="0"/>
        <w:spacing w:line="360" w:lineRule="auto"/>
        <w:rPr>
          <w:rFonts w:hint="eastAsia" w:ascii="宋体" w:hAnsi="宋体" w:eastAsia="宋体" w:cs="宋体"/>
          <w:sz w:val="24"/>
          <w:szCs w:val="24"/>
          <w:highlight w:val="none"/>
        </w:rPr>
      </w:pPr>
    </w:p>
    <w:p>
      <w:pPr>
        <w:kinsoku w:val="0"/>
        <w:topLinePunct/>
        <w:snapToGrid w:val="0"/>
        <w:spacing w:line="360" w:lineRule="auto"/>
        <w:rPr>
          <w:rFonts w:hint="eastAsia" w:ascii="宋体" w:hAnsi="宋体" w:eastAsia="宋体" w:cs="宋体"/>
          <w:sz w:val="24"/>
          <w:szCs w:val="24"/>
          <w:highlight w:val="none"/>
        </w:rPr>
      </w:pPr>
    </w:p>
    <w:p>
      <w:pPr>
        <w:pStyle w:val="114"/>
        <w:tabs>
          <w:tab w:val="left" w:pos="5665"/>
          <w:tab w:val="right" w:pos="8360"/>
        </w:tabs>
        <w:spacing w:line="360" w:lineRule="auto"/>
        <w:ind w:right="42"/>
        <w:jc w:val="left"/>
        <w:rPr>
          <w:rFonts w:hint="eastAsia" w:hAnsi="宋体" w:cs="宋体"/>
          <w:color w:val="auto"/>
          <w:sz w:val="24"/>
          <w:highlight w:val="none"/>
        </w:rPr>
      </w:pPr>
      <w:r>
        <w:rPr>
          <w:rFonts w:hint="eastAsia" w:ascii="宋体" w:hAnsi="宋体" w:eastAsia="宋体" w:cs="宋体"/>
          <w:b/>
          <w:sz w:val="24"/>
          <w:szCs w:val="24"/>
          <w:highlight w:val="none"/>
        </w:rPr>
        <w:t>注：第二次报价将在开标现场填写，响应文件密封提交时只需填写磋商报价总计（首次）。且第二次报价时，磋商响应报价明细表按同比例下浮。</w:t>
      </w:r>
    </w:p>
    <w:p>
      <w:pPr>
        <w:pStyle w:val="114"/>
        <w:tabs>
          <w:tab w:val="left" w:pos="5665"/>
          <w:tab w:val="right" w:pos="8360"/>
        </w:tabs>
        <w:spacing w:line="360" w:lineRule="auto"/>
        <w:ind w:right="42"/>
        <w:jc w:val="center"/>
        <w:rPr>
          <w:rFonts w:hint="eastAsia" w:hAnsi="宋体" w:cs="宋体"/>
          <w:color w:val="auto"/>
          <w:sz w:val="24"/>
          <w:highlight w:val="none"/>
        </w:rPr>
      </w:pPr>
    </w:p>
    <w:p>
      <w:pPr>
        <w:pStyle w:val="114"/>
        <w:tabs>
          <w:tab w:val="left" w:pos="5665"/>
          <w:tab w:val="right" w:pos="8360"/>
        </w:tabs>
        <w:spacing w:line="360" w:lineRule="auto"/>
        <w:ind w:right="42"/>
        <w:jc w:val="center"/>
        <w:rPr>
          <w:rFonts w:hint="eastAsia" w:hAnsi="宋体" w:cs="宋体"/>
          <w:color w:val="auto"/>
          <w:sz w:val="24"/>
          <w:highlight w:val="none"/>
        </w:rPr>
      </w:pPr>
    </w:p>
    <w:p>
      <w:pPr>
        <w:pStyle w:val="114"/>
        <w:tabs>
          <w:tab w:val="left" w:pos="5665"/>
          <w:tab w:val="right" w:pos="8360"/>
        </w:tabs>
        <w:spacing w:line="360" w:lineRule="auto"/>
        <w:ind w:right="42"/>
        <w:jc w:val="center"/>
        <w:rPr>
          <w:rFonts w:hint="eastAsia" w:hAnsi="宋体" w:cs="宋体"/>
          <w:color w:val="auto"/>
          <w:sz w:val="24"/>
          <w:highlight w:val="none"/>
        </w:rPr>
      </w:pPr>
    </w:p>
    <w:p>
      <w:pPr>
        <w:pStyle w:val="114"/>
        <w:tabs>
          <w:tab w:val="left" w:pos="5665"/>
          <w:tab w:val="right" w:pos="8360"/>
        </w:tabs>
        <w:spacing w:line="360" w:lineRule="auto"/>
        <w:ind w:right="42"/>
        <w:jc w:val="center"/>
        <w:rPr>
          <w:rFonts w:hint="eastAsia" w:hAnsi="宋体" w:cs="宋体"/>
          <w:color w:val="auto"/>
          <w:sz w:val="24"/>
          <w:highlight w:val="none"/>
        </w:rPr>
      </w:pPr>
    </w:p>
    <w:p>
      <w:pPr>
        <w:pStyle w:val="114"/>
        <w:tabs>
          <w:tab w:val="left" w:pos="5665"/>
          <w:tab w:val="right" w:pos="8360"/>
        </w:tabs>
        <w:spacing w:line="360" w:lineRule="auto"/>
        <w:ind w:right="42"/>
        <w:jc w:val="center"/>
        <w:rPr>
          <w:rFonts w:hint="eastAsia" w:hAnsi="宋体" w:cs="宋体"/>
          <w:color w:val="auto"/>
          <w:sz w:val="24"/>
          <w:highlight w:val="none"/>
        </w:rPr>
      </w:pPr>
    </w:p>
    <w:p>
      <w:pPr>
        <w:pStyle w:val="114"/>
        <w:tabs>
          <w:tab w:val="left" w:pos="5665"/>
          <w:tab w:val="right" w:pos="8360"/>
        </w:tabs>
        <w:spacing w:line="360" w:lineRule="auto"/>
        <w:ind w:right="42"/>
        <w:jc w:val="center"/>
        <w:rPr>
          <w:rFonts w:hint="eastAsia" w:hAnsi="宋体" w:cs="宋体"/>
          <w:color w:val="auto"/>
          <w:sz w:val="24"/>
          <w:highlight w:val="none"/>
        </w:rPr>
      </w:pPr>
    </w:p>
    <w:p>
      <w:pPr>
        <w:pStyle w:val="114"/>
        <w:tabs>
          <w:tab w:val="left" w:pos="5665"/>
          <w:tab w:val="right" w:pos="8360"/>
        </w:tabs>
        <w:spacing w:line="360" w:lineRule="auto"/>
        <w:ind w:right="42"/>
        <w:jc w:val="center"/>
        <w:rPr>
          <w:rFonts w:ascii="Times New Roman" w:hAnsi="Times New Roman" w:eastAsia="宋体" w:cs="Times New Roman"/>
          <w:b/>
          <w:bCs/>
          <w:color w:val="auto"/>
          <w:kern w:val="2"/>
          <w:sz w:val="24"/>
          <w:szCs w:val="24"/>
          <w:highlight w:val="none"/>
          <w:lang w:val="en-US" w:eastAsia="zh-CN" w:bidi="ar-SA"/>
        </w:rPr>
      </w:pPr>
      <w:r>
        <w:rPr>
          <w:rFonts w:hint="eastAsia" w:hAnsi="宋体" w:cs="宋体"/>
          <w:b/>
          <w:bCs/>
          <w:color w:val="auto"/>
          <w:sz w:val="24"/>
          <w:highlight w:val="none"/>
          <w:lang w:val="en-US" w:eastAsia="zh-CN"/>
        </w:rPr>
        <w:t>7.</w:t>
      </w:r>
      <w:r>
        <w:rPr>
          <w:rFonts w:hint="eastAsia" w:ascii="Times New Roman" w:hAnsi="Times New Roman" w:eastAsia="宋体" w:cs="Times New Roman"/>
          <w:b/>
          <w:bCs/>
          <w:color w:val="auto"/>
          <w:kern w:val="2"/>
          <w:sz w:val="24"/>
          <w:szCs w:val="24"/>
          <w:highlight w:val="none"/>
          <w:lang w:val="zh-CN" w:eastAsia="zh-CN" w:bidi="ar-SA"/>
        </w:rPr>
        <w:t>投标响应报价</w:t>
      </w:r>
      <w:r>
        <w:rPr>
          <w:rFonts w:hint="eastAsia" w:ascii="Times New Roman" w:hAnsi="Times New Roman" w:eastAsia="宋体" w:cs="Times New Roman"/>
          <w:b/>
          <w:bCs/>
          <w:color w:val="auto"/>
          <w:kern w:val="2"/>
          <w:sz w:val="24"/>
          <w:szCs w:val="24"/>
          <w:highlight w:val="none"/>
          <w:lang w:val="en-US" w:eastAsia="zh-CN" w:bidi="ar-SA"/>
        </w:rPr>
        <w:t>明细表</w:t>
      </w:r>
      <w:r>
        <w:rPr>
          <w:rFonts w:hint="eastAsia" w:ascii="Times New Roman" w:hAnsi="Times New Roman" w:eastAsia="宋体" w:cs="Times New Roman"/>
          <w:b/>
          <w:bCs/>
          <w:color w:val="auto"/>
          <w:kern w:val="2"/>
          <w:sz w:val="24"/>
          <w:szCs w:val="24"/>
          <w:highlight w:val="none"/>
          <w:lang w:val="zh-CN" w:eastAsia="zh-CN" w:bidi="ar-SA"/>
        </w:rPr>
        <w:t>（格式</w:t>
      </w:r>
      <w:r>
        <w:rPr>
          <w:rFonts w:hint="eastAsia" w:ascii="Times New Roman" w:hAnsi="Times New Roman" w:eastAsia="宋体" w:cs="Times New Roman"/>
          <w:b/>
          <w:bCs/>
          <w:color w:val="auto"/>
          <w:kern w:val="2"/>
          <w:sz w:val="24"/>
          <w:szCs w:val="24"/>
          <w:highlight w:val="none"/>
          <w:lang w:val="en-US" w:eastAsia="zh-CN" w:bidi="ar-SA"/>
        </w:rPr>
        <w:t>自拟</w:t>
      </w:r>
      <w:r>
        <w:rPr>
          <w:rFonts w:hint="eastAsia" w:ascii="Times New Roman" w:hAnsi="Times New Roman" w:eastAsia="宋体" w:cs="Times New Roman"/>
          <w:b/>
          <w:bCs/>
          <w:color w:val="auto"/>
          <w:kern w:val="2"/>
          <w:sz w:val="24"/>
          <w:szCs w:val="24"/>
          <w:highlight w:val="none"/>
          <w:lang w:val="zh-CN" w:eastAsia="zh-CN" w:bidi="ar-SA"/>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roma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Verdana">
    <w:panose1 w:val="020B0604030504040204"/>
    <w:charset w:val="00"/>
    <w:family w:val="swiss"/>
    <w:pitch w:val="default"/>
    <w:sig w:usb0="A00006FF" w:usb1="4000205B" w:usb2="0000001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pict>
        <v:shape id="文本框 2" o:spid="_x0000_s4098" o:spt="202" type="#_x0000_t202" style="position:absolute;left:0pt;margin-top:0pt;height:20.7pt;width:24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2"/>
                  <w:jc w:val="center"/>
                </w:pPr>
                <w:r>
                  <w:rPr>
                    <w:b/>
                    <w:bCs/>
                  </w:rPr>
                  <w:fldChar w:fldCharType="begin"/>
                </w:r>
                <w:r>
                  <w:rPr>
                    <w:b/>
                    <w:bCs/>
                  </w:rPr>
                  <w:instrText xml:space="preserve">PAGE</w:instrText>
                </w:r>
                <w:r>
                  <w:rPr>
                    <w:b/>
                    <w:bCs/>
                  </w:rPr>
                  <w:fldChar w:fldCharType="separate"/>
                </w:r>
                <w:r>
                  <w:rPr>
                    <w:b/>
                    <w:bCs/>
                  </w:rPr>
                  <w:t>18</w:t>
                </w:r>
                <w:r>
                  <w:rPr>
                    <w:b/>
                    <w:bCs/>
                  </w:rPr>
                  <w:fldChar w:fldCharType="end"/>
                </w:r>
              </w:p>
            </w:txbxContent>
          </v:textbox>
        </v:shape>
      </w:pict>
    </w:r>
  </w:p>
  <w:p>
    <w:pPr>
      <w:pStyle w:val="3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framePr w:wrap="around" w:vAnchor="text" w:hAnchor="margin" w:xAlign="right" w:y="1"/>
      <w:rPr>
        <w:rStyle w:val="56"/>
      </w:rPr>
    </w:pPr>
    <w:r>
      <w:rPr>
        <w:rStyle w:val="56"/>
      </w:rPr>
      <w:fldChar w:fldCharType="begin"/>
    </w:r>
    <w:r>
      <w:rPr>
        <w:rStyle w:val="56"/>
      </w:rPr>
      <w:instrText xml:space="preserve">PAGE  </w:instrText>
    </w:r>
    <w:r>
      <w:rPr>
        <w:rStyle w:val="56"/>
      </w:rPr>
      <w:fldChar w:fldCharType="end"/>
    </w:r>
  </w:p>
  <w:p>
    <w:pPr>
      <w:pStyle w:val="3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2"/>
      <w:jc w:val="center"/>
    </w:pPr>
    <w:r>
      <w:pict>
        <v:shape id="文本框 3" o:spid="_x0000_s4097" o:spt="202" type="#_x0000_t202" style="position:absolute;left:0pt;margin-top:0pt;height:20.7pt;width:15pt;mso-position-horizontal:center;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pPr>
                  <w:pStyle w:val="32"/>
                  <w:jc w:val="center"/>
                </w:pPr>
                <w:r>
                  <w:fldChar w:fldCharType="begin"/>
                </w:r>
                <w:r>
                  <w:instrText xml:space="preserve">PAGE   \* MERGEFORMAT</w:instrText>
                </w:r>
                <w:r>
                  <w:fldChar w:fldCharType="separate"/>
                </w:r>
                <w:r>
                  <w:rPr>
                    <w:lang w:val="zh-CN"/>
                  </w:rPr>
                  <w:t>19</w:t>
                </w:r>
                <w:r>
                  <w:rPr>
                    <w:lang w:val="zh-CN"/>
                  </w:rPr>
                  <w:fldChar w:fldCharType="end"/>
                </w:r>
              </w:p>
            </w:txbxContent>
          </v:textbox>
        </v:shape>
      </w:pict>
    </w:r>
  </w:p>
  <w:p>
    <w:pPr>
      <w:pStyle w:val="32"/>
      <w:wordWrap w:val="0"/>
      <w:ind w:right="18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0C844C5"/>
    <w:multiLevelType w:val="singleLevel"/>
    <w:tmpl w:val="C0C844C5"/>
    <w:lvl w:ilvl="0" w:tentative="0">
      <w:start w:val="4"/>
      <w:numFmt w:val="chineseCounting"/>
      <w:suff w:val="space"/>
      <w:lvlText w:val="第%1章"/>
      <w:lvlJc w:val="left"/>
      <w:rPr>
        <w:rFonts w:hint="eastAsia" w:cs="Times New Roman"/>
      </w:rPr>
    </w:lvl>
  </w:abstractNum>
  <w:abstractNum w:abstractNumId="1">
    <w:nsid w:val="2EE3716A"/>
    <w:multiLevelType w:val="singleLevel"/>
    <w:tmpl w:val="2EE3716A"/>
    <w:lvl w:ilvl="0" w:tentative="0">
      <w:start w:val="8"/>
      <w:numFmt w:val="chineseCounting"/>
      <w:suff w:val="nothing"/>
      <w:lvlText w:val="%1、"/>
      <w:lvlJc w:val="left"/>
      <w:rPr>
        <w:rFonts w:hint="eastAsia"/>
      </w:rPr>
    </w:lvl>
  </w:abstractNum>
  <w:abstractNum w:abstractNumId="2">
    <w:nsid w:val="5A73EE5A"/>
    <w:multiLevelType w:val="singleLevel"/>
    <w:tmpl w:val="5A73EE5A"/>
    <w:lvl w:ilvl="0" w:tentative="0">
      <w:start w:val="1"/>
      <w:numFmt w:val="decimal"/>
      <w:suff w:val="nothing"/>
      <w:lvlText w:val="（%1）"/>
      <w:lvlJc w:val="left"/>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424"/>
  <w:drawingGridHorizontalSpacing w:val="105"/>
  <w:drawingGridVerticalSpacing w:val="156"/>
  <w:displayHorizontalDrawingGridEvery w:val="1"/>
  <w:displayVerticalDrawingGridEvery w:val="1"/>
  <w:noPunctuationKerning w:val="1"/>
  <w:characterSpacingControl w:val="compressPunctuation"/>
  <w:noLineBreaksAfter w:lang="zh-CN" w:val="$([{£¥·‘“〈《「『【〔〖〝﹙﹛﹝＄（．［｛￡￥"/>
  <w:noLineBreaksBefore w:lang="zh-CN" w:val="!%),.:;&gt;?]}¢¨°·ˇˉ―‖’”…‰′″›℃∶、。〃〉》」』】〕〗〞︶︺︾﹀﹄﹚﹜﹞！＂％＇），．：；？］｀｜｝～￠"/>
  <w:doNotValidateAgainstSchema/>
  <w:doNotDemarcateInvalidXml/>
  <w:hdrShapeDefaults>
    <o:shapelayout v:ext="edit">
      <o:idmap v:ext="edit" data="3,4"/>
    </o:shapelayout>
  </w:hdrShapeDefaults>
  <w:compat>
    <w:spaceForUL/>
    <w:balanceSingleByteDoubleByteWidth/>
    <w:doNotLeaveBackslashAlone/>
    <w:doNotExpandShiftReturn/>
    <w:doNotWrapTextWithPunct/>
    <w:doNotUseEastAsianBreakRules/>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2A27"/>
    <w:rsid w:val="00000852"/>
    <w:rsid w:val="000039C8"/>
    <w:rsid w:val="00014555"/>
    <w:rsid w:val="00014D3E"/>
    <w:rsid w:val="00015852"/>
    <w:rsid w:val="000171B5"/>
    <w:rsid w:val="00031432"/>
    <w:rsid w:val="0004204B"/>
    <w:rsid w:val="00043C4B"/>
    <w:rsid w:val="0004447A"/>
    <w:rsid w:val="00044F1B"/>
    <w:rsid w:val="00046E34"/>
    <w:rsid w:val="00055A11"/>
    <w:rsid w:val="0005698B"/>
    <w:rsid w:val="00060BF6"/>
    <w:rsid w:val="00066A8B"/>
    <w:rsid w:val="00066F9F"/>
    <w:rsid w:val="00070888"/>
    <w:rsid w:val="000748DA"/>
    <w:rsid w:val="00082655"/>
    <w:rsid w:val="00083EDD"/>
    <w:rsid w:val="00084073"/>
    <w:rsid w:val="000841FB"/>
    <w:rsid w:val="00085742"/>
    <w:rsid w:val="0008633C"/>
    <w:rsid w:val="00086D36"/>
    <w:rsid w:val="00097B92"/>
    <w:rsid w:val="000A0517"/>
    <w:rsid w:val="000B1765"/>
    <w:rsid w:val="000B4A07"/>
    <w:rsid w:val="000B5492"/>
    <w:rsid w:val="000C35A8"/>
    <w:rsid w:val="000C36B8"/>
    <w:rsid w:val="000C438C"/>
    <w:rsid w:val="000C6DBB"/>
    <w:rsid w:val="000C7E3C"/>
    <w:rsid w:val="000D5F2E"/>
    <w:rsid w:val="000D6E16"/>
    <w:rsid w:val="000E05F9"/>
    <w:rsid w:val="000E441F"/>
    <w:rsid w:val="000F0D29"/>
    <w:rsid w:val="000F6601"/>
    <w:rsid w:val="000F6D29"/>
    <w:rsid w:val="000F7600"/>
    <w:rsid w:val="000F7668"/>
    <w:rsid w:val="000F7EFA"/>
    <w:rsid w:val="00103896"/>
    <w:rsid w:val="00104F1D"/>
    <w:rsid w:val="0011048A"/>
    <w:rsid w:val="00126F48"/>
    <w:rsid w:val="001316A0"/>
    <w:rsid w:val="00131947"/>
    <w:rsid w:val="001338B3"/>
    <w:rsid w:val="00141EA3"/>
    <w:rsid w:val="00142BF7"/>
    <w:rsid w:val="00143037"/>
    <w:rsid w:val="00144128"/>
    <w:rsid w:val="00144D3B"/>
    <w:rsid w:val="00145BB9"/>
    <w:rsid w:val="001475FD"/>
    <w:rsid w:val="0014795A"/>
    <w:rsid w:val="001534B9"/>
    <w:rsid w:val="00155F9A"/>
    <w:rsid w:val="00160877"/>
    <w:rsid w:val="001614D9"/>
    <w:rsid w:val="0016555D"/>
    <w:rsid w:val="00167D8F"/>
    <w:rsid w:val="0017106E"/>
    <w:rsid w:val="0017246A"/>
    <w:rsid w:val="00172802"/>
    <w:rsid w:val="00172A27"/>
    <w:rsid w:val="00176548"/>
    <w:rsid w:val="00180AB6"/>
    <w:rsid w:val="00181489"/>
    <w:rsid w:val="0018196D"/>
    <w:rsid w:val="00182DC3"/>
    <w:rsid w:val="00184876"/>
    <w:rsid w:val="00191501"/>
    <w:rsid w:val="00191EAF"/>
    <w:rsid w:val="00193AF5"/>
    <w:rsid w:val="00196531"/>
    <w:rsid w:val="0019745C"/>
    <w:rsid w:val="001A38E9"/>
    <w:rsid w:val="001A5F94"/>
    <w:rsid w:val="001A7767"/>
    <w:rsid w:val="001A7961"/>
    <w:rsid w:val="001B317D"/>
    <w:rsid w:val="001B346E"/>
    <w:rsid w:val="001B3A93"/>
    <w:rsid w:val="001B6AB5"/>
    <w:rsid w:val="001B6E46"/>
    <w:rsid w:val="001C3633"/>
    <w:rsid w:val="001C6E37"/>
    <w:rsid w:val="001D1C41"/>
    <w:rsid w:val="001D387F"/>
    <w:rsid w:val="001D3A4E"/>
    <w:rsid w:val="001D7E8C"/>
    <w:rsid w:val="001E0C75"/>
    <w:rsid w:val="001E2670"/>
    <w:rsid w:val="001E3534"/>
    <w:rsid w:val="001E3DA4"/>
    <w:rsid w:val="001E4055"/>
    <w:rsid w:val="001E5D0C"/>
    <w:rsid w:val="001F00F8"/>
    <w:rsid w:val="001F05DA"/>
    <w:rsid w:val="001F1227"/>
    <w:rsid w:val="001F28A5"/>
    <w:rsid w:val="001F5320"/>
    <w:rsid w:val="00207784"/>
    <w:rsid w:val="00207F85"/>
    <w:rsid w:val="00214B3B"/>
    <w:rsid w:val="002157EF"/>
    <w:rsid w:val="00221271"/>
    <w:rsid w:val="0022676C"/>
    <w:rsid w:val="0023029A"/>
    <w:rsid w:val="00231148"/>
    <w:rsid w:val="00236472"/>
    <w:rsid w:val="0024046E"/>
    <w:rsid w:val="00242ABA"/>
    <w:rsid w:val="00243034"/>
    <w:rsid w:val="002433CE"/>
    <w:rsid w:val="00243A2A"/>
    <w:rsid w:val="00243CCC"/>
    <w:rsid w:val="002465F4"/>
    <w:rsid w:val="002530ED"/>
    <w:rsid w:val="00253B17"/>
    <w:rsid w:val="002542D0"/>
    <w:rsid w:val="00254B7A"/>
    <w:rsid w:val="00263465"/>
    <w:rsid w:val="00267C1A"/>
    <w:rsid w:val="00270816"/>
    <w:rsid w:val="002720A3"/>
    <w:rsid w:val="00273F9F"/>
    <w:rsid w:val="00274825"/>
    <w:rsid w:val="00277E5E"/>
    <w:rsid w:val="00280BA6"/>
    <w:rsid w:val="00281213"/>
    <w:rsid w:val="002847C8"/>
    <w:rsid w:val="002857D3"/>
    <w:rsid w:val="0029033F"/>
    <w:rsid w:val="002A28B9"/>
    <w:rsid w:val="002A2F71"/>
    <w:rsid w:val="002B1DDD"/>
    <w:rsid w:val="002B29B6"/>
    <w:rsid w:val="002B58CE"/>
    <w:rsid w:val="002B5A38"/>
    <w:rsid w:val="002C557B"/>
    <w:rsid w:val="002D2A8E"/>
    <w:rsid w:val="002D356A"/>
    <w:rsid w:val="002D5929"/>
    <w:rsid w:val="002D5EDC"/>
    <w:rsid w:val="002E42EA"/>
    <w:rsid w:val="002E7131"/>
    <w:rsid w:val="002F1F0B"/>
    <w:rsid w:val="002F24E4"/>
    <w:rsid w:val="002F6F9A"/>
    <w:rsid w:val="003007BA"/>
    <w:rsid w:val="00300969"/>
    <w:rsid w:val="00302B14"/>
    <w:rsid w:val="00303A7A"/>
    <w:rsid w:val="00306010"/>
    <w:rsid w:val="003108C8"/>
    <w:rsid w:val="0031230D"/>
    <w:rsid w:val="00322DBE"/>
    <w:rsid w:val="00333251"/>
    <w:rsid w:val="00333B38"/>
    <w:rsid w:val="00341435"/>
    <w:rsid w:val="00344CD5"/>
    <w:rsid w:val="00347971"/>
    <w:rsid w:val="00353FBA"/>
    <w:rsid w:val="00354EF2"/>
    <w:rsid w:val="003554AE"/>
    <w:rsid w:val="00355F7D"/>
    <w:rsid w:val="00362C18"/>
    <w:rsid w:val="00364AFE"/>
    <w:rsid w:val="003671B8"/>
    <w:rsid w:val="00372BAE"/>
    <w:rsid w:val="00375550"/>
    <w:rsid w:val="00380488"/>
    <w:rsid w:val="003837EF"/>
    <w:rsid w:val="00384770"/>
    <w:rsid w:val="00386C1E"/>
    <w:rsid w:val="003917B3"/>
    <w:rsid w:val="0039473D"/>
    <w:rsid w:val="00395884"/>
    <w:rsid w:val="00395CA8"/>
    <w:rsid w:val="00395DB1"/>
    <w:rsid w:val="003A015C"/>
    <w:rsid w:val="003A22F6"/>
    <w:rsid w:val="003A44B9"/>
    <w:rsid w:val="003A52BE"/>
    <w:rsid w:val="003A57BD"/>
    <w:rsid w:val="003A627C"/>
    <w:rsid w:val="003B4974"/>
    <w:rsid w:val="003C116A"/>
    <w:rsid w:val="003C28DD"/>
    <w:rsid w:val="003C411F"/>
    <w:rsid w:val="003C562F"/>
    <w:rsid w:val="003E3BE5"/>
    <w:rsid w:val="003E7A44"/>
    <w:rsid w:val="003F1AE5"/>
    <w:rsid w:val="003F2CBA"/>
    <w:rsid w:val="003F2E6E"/>
    <w:rsid w:val="003F3627"/>
    <w:rsid w:val="004021FE"/>
    <w:rsid w:val="00402AB1"/>
    <w:rsid w:val="00407F55"/>
    <w:rsid w:val="004112D5"/>
    <w:rsid w:val="004132BD"/>
    <w:rsid w:val="0042313F"/>
    <w:rsid w:val="0042768A"/>
    <w:rsid w:val="00441242"/>
    <w:rsid w:val="004415FB"/>
    <w:rsid w:val="004419C2"/>
    <w:rsid w:val="0044764B"/>
    <w:rsid w:val="004509F1"/>
    <w:rsid w:val="004551D2"/>
    <w:rsid w:val="0045771C"/>
    <w:rsid w:val="00477557"/>
    <w:rsid w:val="0048012D"/>
    <w:rsid w:val="00481039"/>
    <w:rsid w:val="00483938"/>
    <w:rsid w:val="00485E71"/>
    <w:rsid w:val="0048773F"/>
    <w:rsid w:val="00487985"/>
    <w:rsid w:val="004907BB"/>
    <w:rsid w:val="00496226"/>
    <w:rsid w:val="004A2E7E"/>
    <w:rsid w:val="004A4F35"/>
    <w:rsid w:val="004B24E7"/>
    <w:rsid w:val="004B6045"/>
    <w:rsid w:val="004B67DE"/>
    <w:rsid w:val="004C42F2"/>
    <w:rsid w:val="004C53FE"/>
    <w:rsid w:val="004C5F73"/>
    <w:rsid w:val="004D097D"/>
    <w:rsid w:val="004D101A"/>
    <w:rsid w:val="004D6750"/>
    <w:rsid w:val="004D766D"/>
    <w:rsid w:val="004F514F"/>
    <w:rsid w:val="004F7F2B"/>
    <w:rsid w:val="0050206D"/>
    <w:rsid w:val="005035E5"/>
    <w:rsid w:val="005108C3"/>
    <w:rsid w:val="0051250E"/>
    <w:rsid w:val="00527CFC"/>
    <w:rsid w:val="00527FDF"/>
    <w:rsid w:val="005314C2"/>
    <w:rsid w:val="0053210D"/>
    <w:rsid w:val="0053283D"/>
    <w:rsid w:val="005342F6"/>
    <w:rsid w:val="00542C79"/>
    <w:rsid w:val="00543603"/>
    <w:rsid w:val="0054534C"/>
    <w:rsid w:val="00547813"/>
    <w:rsid w:val="00553E88"/>
    <w:rsid w:val="00560E87"/>
    <w:rsid w:val="00562EF5"/>
    <w:rsid w:val="00567EB4"/>
    <w:rsid w:val="00570C05"/>
    <w:rsid w:val="00571B34"/>
    <w:rsid w:val="005732C7"/>
    <w:rsid w:val="00573A35"/>
    <w:rsid w:val="00575778"/>
    <w:rsid w:val="0057664F"/>
    <w:rsid w:val="005826A3"/>
    <w:rsid w:val="005853FB"/>
    <w:rsid w:val="00587130"/>
    <w:rsid w:val="00593B36"/>
    <w:rsid w:val="005952F9"/>
    <w:rsid w:val="005973E7"/>
    <w:rsid w:val="005A1E3F"/>
    <w:rsid w:val="005A3CE2"/>
    <w:rsid w:val="005A41F7"/>
    <w:rsid w:val="005A421C"/>
    <w:rsid w:val="005A5D0D"/>
    <w:rsid w:val="005B5403"/>
    <w:rsid w:val="005C0614"/>
    <w:rsid w:val="005C1924"/>
    <w:rsid w:val="005C33E6"/>
    <w:rsid w:val="005C3935"/>
    <w:rsid w:val="005C5F86"/>
    <w:rsid w:val="005D0372"/>
    <w:rsid w:val="005D2656"/>
    <w:rsid w:val="005D7A3A"/>
    <w:rsid w:val="005D7D36"/>
    <w:rsid w:val="005E047E"/>
    <w:rsid w:val="005E2853"/>
    <w:rsid w:val="005E3474"/>
    <w:rsid w:val="005E38FF"/>
    <w:rsid w:val="005F37BC"/>
    <w:rsid w:val="005F7D93"/>
    <w:rsid w:val="00610713"/>
    <w:rsid w:val="00612125"/>
    <w:rsid w:val="006122FA"/>
    <w:rsid w:val="00613EA1"/>
    <w:rsid w:val="0061620D"/>
    <w:rsid w:val="00617432"/>
    <w:rsid w:val="00621A8A"/>
    <w:rsid w:val="006274C7"/>
    <w:rsid w:val="00627649"/>
    <w:rsid w:val="006330F5"/>
    <w:rsid w:val="0063428D"/>
    <w:rsid w:val="00634F4D"/>
    <w:rsid w:val="006376E0"/>
    <w:rsid w:val="00637B87"/>
    <w:rsid w:val="00645E4B"/>
    <w:rsid w:val="006537E2"/>
    <w:rsid w:val="006540C7"/>
    <w:rsid w:val="00656832"/>
    <w:rsid w:val="00657201"/>
    <w:rsid w:val="0066338E"/>
    <w:rsid w:val="006633FE"/>
    <w:rsid w:val="00663DFF"/>
    <w:rsid w:val="00672C56"/>
    <w:rsid w:val="00672DC7"/>
    <w:rsid w:val="00675421"/>
    <w:rsid w:val="0068583A"/>
    <w:rsid w:val="00687756"/>
    <w:rsid w:val="00691A51"/>
    <w:rsid w:val="00695AE4"/>
    <w:rsid w:val="006A3811"/>
    <w:rsid w:val="006A4FF1"/>
    <w:rsid w:val="006A6B48"/>
    <w:rsid w:val="006B315E"/>
    <w:rsid w:val="006B3EBC"/>
    <w:rsid w:val="006C05DD"/>
    <w:rsid w:val="006C30DD"/>
    <w:rsid w:val="006C42F2"/>
    <w:rsid w:val="006C615B"/>
    <w:rsid w:val="006C6903"/>
    <w:rsid w:val="006D02D2"/>
    <w:rsid w:val="006D0A99"/>
    <w:rsid w:val="006D1247"/>
    <w:rsid w:val="006D4923"/>
    <w:rsid w:val="006E3C6C"/>
    <w:rsid w:val="006E509F"/>
    <w:rsid w:val="006E50FA"/>
    <w:rsid w:val="006E698A"/>
    <w:rsid w:val="006E719D"/>
    <w:rsid w:val="006F103E"/>
    <w:rsid w:val="0070297D"/>
    <w:rsid w:val="00702E21"/>
    <w:rsid w:val="00706954"/>
    <w:rsid w:val="00706A53"/>
    <w:rsid w:val="00711008"/>
    <w:rsid w:val="007140C6"/>
    <w:rsid w:val="007176D8"/>
    <w:rsid w:val="007179CC"/>
    <w:rsid w:val="007237F4"/>
    <w:rsid w:val="007250B1"/>
    <w:rsid w:val="007255A9"/>
    <w:rsid w:val="00726C0F"/>
    <w:rsid w:val="0072741C"/>
    <w:rsid w:val="00732514"/>
    <w:rsid w:val="007343A6"/>
    <w:rsid w:val="00737F37"/>
    <w:rsid w:val="00743D12"/>
    <w:rsid w:val="00744744"/>
    <w:rsid w:val="0075031E"/>
    <w:rsid w:val="00752694"/>
    <w:rsid w:val="007556C4"/>
    <w:rsid w:val="00761113"/>
    <w:rsid w:val="00764C0B"/>
    <w:rsid w:val="00767E89"/>
    <w:rsid w:val="00770BA5"/>
    <w:rsid w:val="00771711"/>
    <w:rsid w:val="00772D7A"/>
    <w:rsid w:val="00773DD5"/>
    <w:rsid w:val="00782574"/>
    <w:rsid w:val="00785545"/>
    <w:rsid w:val="00787994"/>
    <w:rsid w:val="0079317F"/>
    <w:rsid w:val="007A0158"/>
    <w:rsid w:val="007A5D21"/>
    <w:rsid w:val="007A5E95"/>
    <w:rsid w:val="007A7EFB"/>
    <w:rsid w:val="007B1D9E"/>
    <w:rsid w:val="007B45F1"/>
    <w:rsid w:val="007B6684"/>
    <w:rsid w:val="007C461C"/>
    <w:rsid w:val="007C55BD"/>
    <w:rsid w:val="007C6611"/>
    <w:rsid w:val="007C6EEA"/>
    <w:rsid w:val="007C737C"/>
    <w:rsid w:val="007D2C33"/>
    <w:rsid w:val="007D46E4"/>
    <w:rsid w:val="007D71DA"/>
    <w:rsid w:val="007E017F"/>
    <w:rsid w:val="007E5AE8"/>
    <w:rsid w:val="007E72BC"/>
    <w:rsid w:val="007F3CC8"/>
    <w:rsid w:val="007F495C"/>
    <w:rsid w:val="008014FF"/>
    <w:rsid w:val="00802240"/>
    <w:rsid w:val="00803B2C"/>
    <w:rsid w:val="00804CB0"/>
    <w:rsid w:val="00805F59"/>
    <w:rsid w:val="00813C0A"/>
    <w:rsid w:val="00815DD9"/>
    <w:rsid w:val="008225A3"/>
    <w:rsid w:val="00822D9D"/>
    <w:rsid w:val="00824DC8"/>
    <w:rsid w:val="008257F2"/>
    <w:rsid w:val="00827168"/>
    <w:rsid w:val="00830769"/>
    <w:rsid w:val="00836439"/>
    <w:rsid w:val="00837907"/>
    <w:rsid w:val="00840EE8"/>
    <w:rsid w:val="00843483"/>
    <w:rsid w:val="00844E44"/>
    <w:rsid w:val="00845518"/>
    <w:rsid w:val="00847A32"/>
    <w:rsid w:val="00851FD7"/>
    <w:rsid w:val="00852A42"/>
    <w:rsid w:val="00853D79"/>
    <w:rsid w:val="00855E6F"/>
    <w:rsid w:val="008623BF"/>
    <w:rsid w:val="008627A8"/>
    <w:rsid w:val="00863E9B"/>
    <w:rsid w:val="008651DD"/>
    <w:rsid w:val="0087286B"/>
    <w:rsid w:val="00877EC5"/>
    <w:rsid w:val="00883691"/>
    <w:rsid w:val="008934D5"/>
    <w:rsid w:val="00895C3D"/>
    <w:rsid w:val="00896F95"/>
    <w:rsid w:val="008A282D"/>
    <w:rsid w:val="008A3E0B"/>
    <w:rsid w:val="008A40BB"/>
    <w:rsid w:val="008A46E4"/>
    <w:rsid w:val="008A671F"/>
    <w:rsid w:val="008B56B3"/>
    <w:rsid w:val="008B7B78"/>
    <w:rsid w:val="008D0602"/>
    <w:rsid w:val="008D11A0"/>
    <w:rsid w:val="008D2D0E"/>
    <w:rsid w:val="008D3439"/>
    <w:rsid w:val="008D4F67"/>
    <w:rsid w:val="008D64E9"/>
    <w:rsid w:val="008E18D5"/>
    <w:rsid w:val="008E2905"/>
    <w:rsid w:val="008E3559"/>
    <w:rsid w:val="008E4356"/>
    <w:rsid w:val="008E4DD7"/>
    <w:rsid w:val="008F32EE"/>
    <w:rsid w:val="008F37FA"/>
    <w:rsid w:val="008F54E0"/>
    <w:rsid w:val="008F5E33"/>
    <w:rsid w:val="008F7252"/>
    <w:rsid w:val="008F75DB"/>
    <w:rsid w:val="008F79EE"/>
    <w:rsid w:val="0090025B"/>
    <w:rsid w:val="009024A7"/>
    <w:rsid w:val="00903439"/>
    <w:rsid w:val="009043B6"/>
    <w:rsid w:val="00904FE2"/>
    <w:rsid w:val="00906AB3"/>
    <w:rsid w:val="00907E06"/>
    <w:rsid w:val="00916CBF"/>
    <w:rsid w:val="00925F02"/>
    <w:rsid w:val="0093080E"/>
    <w:rsid w:val="00932919"/>
    <w:rsid w:val="00940423"/>
    <w:rsid w:val="0094125F"/>
    <w:rsid w:val="009433B0"/>
    <w:rsid w:val="0094389C"/>
    <w:rsid w:val="0094410B"/>
    <w:rsid w:val="0094670E"/>
    <w:rsid w:val="00950598"/>
    <w:rsid w:val="00953F4F"/>
    <w:rsid w:val="00953FAD"/>
    <w:rsid w:val="00954976"/>
    <w:rsid w:val="0095677D"/>
    <w:rsid w:val="0095795A"/>
    <w:rsid w:val="009601E7"/>
    <w:rsid w:val="00971B3E"/>
    <w:rsid w:val="009726A7"/>
    <w:rsid w:val="0097298E"/>
    <w:rsid w:val="009736B3"/>
    <w:rsid w:val="009754BE"/>
    <w:rsid w:val="00975E71"/>
    <w:rsid w:val="00977993"/>
    <w:rsid w:val="00977DE1"/>
    <w:rsid w:val="0098468D"/>
    <w:rsid w:val="009874F1"/>
    <w:rsid w:val="00992078"/>
    <w:rsid w:val="009936F3"/>
    <w:rsid w:val="00994876"/>
    <w:rsid w:val="00994A91"/>
    <w:rsid w:val="009A0C8A"/>
    <w:rsid w:val="009A5E11"/>
    <w:rsid w:val="009A65FA"/>
    <w:rsid w:val="009A79AC"/>
    <w:rsid w:val="009B04EE"/>
    <w:rsid w:val="009B1AD5"/>
    <w:rsid w:val="009B4C0A"/>
    <w:rsid w:val="009C569E"/>
    <w:rsid w:val="009C774C"/>
    <w:rsid w:val="009C7C8F"/>
    <w:rsid w:val="009D550C"/>
    <w:rsid w:val="009E0BDC"/>
    <w:rsid w:val="009E1242"/>
    <w:rsid w:val="009E7AB4"/>
    <w:rsid w:val="009E7BDC"/>
    <w:rsid w:val="009F0055"/>
    <w:rsid w:val="009F2515"/>
    <w:rsid w:val="009F329A"/>
    <w:rsid w:val="009F6297"/>
    <w:rsid w:val="009F6A5E"/>
    <w:rsid w:val="009F7009"/>
    <w:rsid w:val="009F76D8"/>
    <w:rsid w:val="009F775C"/>
    <w:rsid w:val="009F7CF9"/>
    <w:rsid w:val="00A02647"/>
    <w:rsid w:val="00A03FE6"/>
    <w:rsid w:val="00A05E08"/>
    <w:rsid w:val="00A0608F"/>
    <w:rsid w:val="00A1005B"/>
    <w:rsid w:val="00A117B7"/>
    <w:rsid w:val="00A14683"/>
    <w:rsid w:val="00A14DF8"/>
    <w:rsid w:val="00A17371"/>
    <w:rsid w:val="00A1779B"/>
    <w:rsid w:val="00A238F9"/>
    <w:rsid w:val="00A326E8"/>
    <w:rsid w:val="00A35811"/>
    <w:rsid w:val="00A36701"/>
    <w:rsid w:val="00A37ED0"/>
    <w:rsid w:val="00A43EB7"/>
    <w:rsid w:val="00A44F34"/>
    <w:rsid w:val="00A45446"/>
    <w:rsid w:val="00A46067"/>
    <w:rsid w:val="00A51611"/>
    <w:rsid w:val="00A6075F"/>
    <w:rsid w:val="00A614DE"/>
    <w:rsid w:val="00A617CE"/>
    <w:rsid w:val="00A631AD"/>
    <w:rsid w:val="00A73B23"/>
    <w:rsid w:val="00A74D25"/>
    <w:rsid w:val="00A7633B"/>
    <w:rsid w:val="00A76407"/>
    <w:rsid w:val="00A76ECB"/>
    <w:rsid w:val="00A8074D"/>
    <w:rsid w:val="00A82230"/>
    <w:rsid w:val="00A8368F"/>
    <w:rsid w:val="00A85A11"/>
    <w:rsid w:val="00A86F1A"/>
    <w:rsid w:val="00A912B0"/>
    <w:rsid w:val="00A95CA6"/>
    <w:rsid w:val="00AA0C23"/>
    <w:rsid w:val="00AA14A1"/>
    <w:rsid w:val="00AA17F6"/>
    <w:rsid w:val="00AA21A2"/>
    <w:rsid w:val="00AA568C"/>
    <w:rsid w:val="00AA7309"/>
    <w:rsid w:val="00AB05B3"/>
    <w:rsid w:val="00AB0FE5"/>
    <w:rsid w:val="00AB1177"/>
    <w:rsid w:val="00AB3FEE"/>
    <w:rsid w:val="00AB6943"/>
    <w:rsid w:val="00AC3C46"/>
    <w:rsid w:val="00AC63C0"/>
    <w:rsid w:val="00AC7E04"/>
    <w:rsid w:val="00AD1578"/>
    <w:rsid w:val="00AD1D0D"/>
    <w:rsid w:val="00AD5B79"/>
    <w:rsid w:val="00AD642B"/>
    <w:rsid w:val="00AD6DB0"/>
    <w:rsid w:val="00AE307C"/>
    <w:rsid w:val="00AE6819"/>
    <w:rsid w:val="00AE7044"/>
    <w:rsid w:val="00AE7436"/>
    <w:rsid w:val="00AF2F9C"/>
    <w:rsid w:val="00AF6DFE"/>
    <w:rsid w:val="00B00A1A"/>
    <w:rsid w:val="00B010E0"/>
    <w:rsid w:val="00B031CE"/>
    <w:rsid w:val="00B03609"/>
    <w:rsid w:val="00B038F7"/>
    <w:rsid w:val="00B045CF"/>
    <w:rsid w:val="00B10787"/>
    <w:rsid w:val="00B10EA8"/>
    <w:rsid w:val="00B130F7"/>
    <w:rsid w:val="00B203AA"/>
    <w:rsid w:val="00B20D08"/>
    <w:rsid w:val="00B2607F"/>
    <w:rsid w:val="00B2633E"/>
    <w:rsid w:val="00B31E9F"/>
    <w:rsid w:val="00B324D2"/>
    <w:rsid w:val="00B40BC2"/>
    <w:rsid w:val="00B41882"/>
    <w:rsid w:val="00B422CC"/>
    <w:rsid w:val="00B426D5"/>
    <w:rsid w:val="00B44342"/>
    <w:rsid w:val="00B458A5"/>
    <w:rsid w:val="00B45F84"/>
    <w:rsid w:val="00B46B1C"/>
    <w:rsid w:val="00B47466"/>
    <w:rsid w:val="00B47CF6"/>
    <w:rsid w:val="00B51E63"/>
    <w:rsid w:val="00B54AB0"/>
    <w:rsid w:val="00B565FE"/>
    <w:rsid w:val="00B56690"/>
    <w:rsid w:val="00B63626"/>
    <w:rsid w:val="00B63956"/>
    <w:rsid w:val="00B67487"/>
    <w:rsid w:val="00B76A23"/>
    <w:rsid w:val="00B83024"/>
    <w:rsid w:val="00B84E3F"/>
    <w:rsid w:val="00B92C1F"/>
    <w:rsid w:val="00B977A2"/>
    <w:rsid w:val="00BA575C"/>
    <w:rsid w:val="00BA5F2C"/>
    <w:rsid w:val="00BB6336"/>
    <w:rsid w:val="00BB7931"/>
    <w:rsid w:val="00BC306F"/>
    <w:rsid w:val="00BC41A6"/>
    <w:rsid w:val="00BD1973"/>
    <w:rsid w:val="00BD277A"/>
    <w:rsid w:val="00BD432D"/>
    <w:rsid w:val="00BD75DD"/>
    <w:rsid w:val="00BE4032"/>
    <w:rsid w:val="00BE6EDB"/>
    <w:rsid w:val="00BF1A5D"/>
    <w:rsid w:val="00C038A7"/>
    <w:rsid w:val="00C044D8"/>
    <w:rsid w:val="00C07D0E"/>
    <w:rsid w:val="00C14800"/>
    <w:rsid w:val="00C24E39"/>
    <w:rsid w:val="00C270A2"/>
    <w:rsid w:val="00C301CC"/>
    <w:rsid w:val="00C30800"/>
    <w:rsid w:val="00C31EE1"/>
    <w:rsid w:val="00C35B9F"/>
    <w:rsid w:val="00C3675E"/>
    <w:rsid w:val="00C36FD3"/>
    <w:rsid w:val="00C40589"/>
    <w:rsid w:val="00C40B85"/>
    <w:rsid w:val="00C434C2"/>
    <w:rsid w:val="00C51019"/>
    <w:rsid w:val="00C51FD3"/>
    <w:rsid w:val="00C57381"/>
    <w:rsid w:val="00C61F64"/>
    <w:rsid w:val="00C6223C"/>
    <w:rsid w:val="00C62B18"/>
    <w:rsid w:val="00C6374B"/>
    <w:rsid w:val="00C659C3"/>
    <w:rsid w:val="00C65ED0"/>
    <w:rsid w:val="00C71194"/>
    <w:rsid w:val="00C73FCA"/>
    <w:rsid w:val="00C747FB"/>
    <w:rsid w:val="00C800F2"/>
    <w:rsid w:val="00C84A93"/>
    <w:rsid w:val="00C85227"/>
    <w:rsid w:val="00C95DFA"/>
    <w:rsid w:val="00CA1CE2"/>
    <w:rsid w:val="00CA20A1"/>
    <w:rsid w:val="00CA3ED2"/>
    <w:rsid w:val="00CB03F3"/>
    <w:rsid w:val="00CB3B9F"/>
    <w:rsid w:val="00CB677B"/>
    <w:rsid w:val="00CB7518"/>
    <w:rsid w:val="00CB770B"/>
    <w:rsid w:val="00CC00B5"/>
    <w:rsid w:val="00CC09B6"/>
    <w:rsid w:val="00CC5AD5"/>
    <w:rsid w:val="00CD3DDE"/>
    <w:rsid w:val="00CE0387"/>
    <w:rsid w:val="00CE2414"/>
    <w:rsid w:val="00D003BD"/>
    <w:rsid w:val="00D004F6"/>
    <w:rsid w:val="00D05331"/>
    <w:rsid w:val="00D135A1"/>
    <w:rsid w:val="00D159D3"/>
    <w:rsid w:val="00D16603"/>
    <w:rsid w:val="00D16FBB"/>
    <w:rsid w:val="00D23D79"/>
    <w:rsid w:val="00D30441"/>
    <w:rsid w:val="00D3054A"/>
    <w:rsid w:val="00D3246E"/>
    <w:rsid w:val="00D33042"/>
    <w:rsid w:val="00D35EE5"/>
    <w:rsid w:val="00D36656"/>
    <w:rsid w:val="00D40782"/>
    <w:rsid w:val="00D51858"/>
    <w:rsid w:val="00D53AEF"/>
    <w:rsid w:val="00D55ED9"/>
    <w:rsid w:val="00D606DC"/>
    <w:rsid w:val="00D65117"/>
    <w:rsid w:val="00D71143"/>
    <w:rsid w:val="00D71C4D"/>
    <w:rsid w:val="00D73476"/>
    <w:rsid w:val="00D7351E"/>
    <w:rsid w:val="00D7743C"/>
    <w:rsid w:val="00D77B4A"/>
    <w:rsid w:val="00D82984"/>
    <w:rsid w:val="00D83F14"/>
    <w:rsid w:val="00D85EBE"/>
    <w:rsid w:val="00D86F05"/>
    <w:rsid w:val="00D91103"/>
    <w:rsid w:val="00DA7F3C"/>
    <w:rsid w:val="00DB38C3"/>
    <w:rsid w:val="00DB442B"/>
    <w:rsid w:val="00DC28C4"/>
    <w:rsid w:val="00DC450E"/>
    <w:rsid w:val="00DC4B88"/>
    <w:rsid w:val="00DC7235"/>
    <w:rsid w:val="00DC7340"/>
    <w:rsid w:val="00DD0F0C"/>
    <w:rsid w:val="00DD3CB0"/>
    <w:rsid w:val="00DD5FB4"/>
    <w:rsid w:val="00DD6933"/>
    <w:rsid w:val="00DE0C57"/>
    <w:rsid w:val="00DE28DA"/>
    <w:rsid w:val="00DE3006"/>
    <w:rsid w:val="00DF0450"/>
    <w:rsid w:val="00DF379E"/>
    <w:rsid w:val="00DF6D04"/>
    <w:rsid w:val="00E02552"/>
    <w:rsid w:val="00E05ADF"/>
    <w:rsid w:val="00E07718"/>
    <w:rsid w:val="00E07F00"/>
    <w:rsid w:val="00E1186A"/>
    <w:rsid w:val="00E1485E"/>
    <w:rsid w:val="00E150D6"/>
    <w:rsid w:val="00E15528"/>
    <w:rsid w:val="00E230B3"/>
    <w:rsid w:val="00E26662"/>
    <w:rsid w:val="00E3403E"/>
    <w:rsid w:val="00E3436D"/>
    <w:rsid w:val="00E36AE4"/>
    <w:rsid w:val="00E40848"/>
    <w:rsid w:val="00E4773C"/>
    <w:rsid w:val="00E52B71"/>
    <w:rsid w:val="00E53DA1"/>
    <w:rsid w:val="00E5427A"/>
    <w:rsid w:val="00E553A8"/>
    <w:rsid w:val="00E562C6"/>
    <w:rsid w:val="00E57886"/>
    <w:rsid w:val="00E64ADE"/>
    <w:rsid w:val="00E65617"/>
    <w:rsid w:val="00E65D97"/>
    <w:rsid w:val="00E705E5"/>
    <w:rsid w:val="00E71065"/>
    <w:rsid w:val="00E71970"/>
    <w:rsid w:val="00E73545"/>
    <w:rsid w:val="00E744BB"/>
    <w:rsid w:val="00E75FF2"/>
    <w:rsid w:val="00E774E7"/>
    <w:rsid w:val="00E810B3"/>
    <w:rsid w:val="00E82EC4"/>
    <w:rsid w:val="00E90C13"/>
    <w:rsid w:val="00E95E04"/>
    <w:rsid w:val="00E96C19"/>
    <w:rsid w:val="00E97C34"/>
    <w:rsid w:val="00EA0157"/>
    <w:rsid w:val="00EA3AF8"/>
    <w:rsid w:val="00EB2718"/>
    <w:rsid w:val="00EB3CA0"/>
    <w:rsid w:val="00EB5EE8"/>
    <w:rsid w:val="00EC1F58"/>
    <w:rsid w:val="00EC2E85"/>
    <w:rsid w:val="00EC3C07"/>
    <w:rsid w:val="00EC51EF"/>
    <w:rsid w:val="00EC7638"/>
    <w:rsid w:val="00ED36FB"/>
    <w:rsid w:val="00ED3C4E"/>
    <w:rsid w:val="00ED6BE4"/>
    <w:rsid w:val="00EE1E45"/>
    <w:rsid w:val="00EE2F39"/>
    <w:rsid w:val="00EE7A14"/>
    <w:rsid w:val="00EF048C"/>
    <w:rsid w:val="00F00640"/>
    <w:rsid w:val="00F13C09"/>
    <w:rsid w:val="00F176A0"/>
    <w:rsid w:val="00F17FE1"/>
    <w:rsid w:val="00F25EAC"/>
    <w:rsid w:val="00F272A5"/>
    <w:rsid w:val="00F27918"/>
    <w:rsid w:val="00F27CB5"/>
    <w:rsid w:val="00F27E06"/>
    <w:rsid w:val="00F30372"/>
    <w:rsid w:val="00F3199A"/>
    <w:rsid w:val="00F32D3B"/>
    <w:rsid w:val="00F35A7C"/>
    <w:rsid w:val="00F508BC"/>
    <w:rsid w:val="00F530B0"/>
    <w:rsid w:val="00F53149"/>
    <w:rsid w:val="00F53A46"/>
    <w:rsid w:val="00F545F7"/>
    <w:rsid w:val="00F54768"/>
    <w:rsid w:val="00F70D79"/>
    <w:rsid w:val="00F71ECE"/>
    <w:rsid w:val="00F74BED"/>
    <w:rsid w:val="00F828F5"/>
    <w:rsid w:val="00F83F15"/>
    <w:rsid w:val="00F844C7"/>
    <w:rsid w:val="00F8628E"/>
    <w:rsid w:val="00F90AEA"/>
    <w:rsid w:val="00F93F05"/>
    <w:rsid w:val="00F9403F"/>
    <w:rsid w:val="00F950DA"/>
    <w:rsid w:val="00F9510F"/>
    <w:rsid w:val="00F955C6"/>
    <w:rsid w:val="00F95940"/>
    <w:rsid w:val="00F96457"/>
    <w:rsid w:val="00F97688"/>
    <w:rsid w:val="00F97D36"/>
    <w:rsid w:val="00FA3BF8"/>
    <w:rsid w:val="00FA5986"/>
    <w:rsid w:val="00FA78A4"/>
    <w:rsid w:val="00FB017C"/>
    <w:rsid w:val="00FB423A"/>
    <w:rsid w:val="00FB5E9B"/>
    <w:rsid w:val="00FB73FC"/>
    <w:rsid w:val="00FC0801"/>
    <w:rsid w:val="00FD12B9"/>
    <w:rsid w:val="00FD1483"/>
    <w:rsid w:val="00FD5E75"/>
    <w:rsid w:val="00FD6299"/>
    <w:rsid w:val="00FD68E4"/>
    <w:rsid w:val="00FE0EC7"/>
    <w:rsid w:val="00FE1C93"/>
    <w:rsid w:val="00FE26BD"/>
    <w:rsid w:val="00FE3E9D"/>
    <w:rsid w:val="00FE6562"/>
    <w:rsid w:val="00FF2058"/>
    <w:rsid w:val="011F207C"/>
    <w:rsid w:val="01451617"/>
    <w:rsid w:val="01D02AB2"/>
    <w:rsid w:val="01D10199"/>
    <w:rsid w:val="01F5424D"/>
    <w:rsid w:val="02004435"/>
    <w:rsid w:val="026537B5"/>
    <w:rsid w:val="02800A25"/>
    <w:rsid w:val="02A85560"/>
    <w:rsid w:val="02CF585A"/>
    <w:rsid w:val="02ED2D49"/>
    <w:rsid w:val="032701A1"/>
    <w:rsid w:val="03BD2ACA"/>
    <w:rsid w:val="0440535B"/>
    <w:rsid w:val="046E395C"/>
    <w:rsid w:val="046F69EC"/>
    <w:rsid w:val="04D83494"/>
    <w:rsid w:val="04DC12A2"/>
    <w:rsid w:val="05010908"/>
    <w:rsid w:val="05A9625C"/>
    <w:rsid w:val="0619673F"/>
    <w:rsid w:val="0640290E"/>
    <w:rsid w:val="064C21D9"/>
    <w:rsid w:val="06666654"/>
    <w:rsid w:val="06C41A3A"/>
    <w:rsid w:val="07004918"/>
    <w:rsid w:val="077913F5"/>
    <w:rsid w:val="07CA0837"/>
    <w:rsid w:val="08B22987"/>
    <w:rsid w:val="09095D4D"/>
    <w:rsid w:val="09676ECC"/>
    <w:rsid w:val="0A955E54"/>
    <w:rsid w:val="0A9A5594"/>
    <w:rsid w:val="0AFC246D"/>
    <w:rsid w:val="0AFD169B"/>
    <w:rsid w:val="0B5415B7"/>
    <w:rsid w:val="0B783959"/>
    <w:rsid w:val="0BD07F8C"/>
    <w:rsid w:val="0BD77F0B"/>
    <w:rsid w:val="0C313D73"/>
    <w:rsid w:val="0CD92AFD"/>
    <w:rsid w:val="0D7C1E8D"/>
    <w:rsid w:val="0D9D328F"/>
    <w:rsid w:val="0DDE36D9"/>
    <w:rsid w:val="0DED31C6"/>
    <w:rsid w:val="0E6F2A74"/>
    <w:rsid w:val="0ED84F31"/>
    <w:rsid w:val="0F6B354D"/>
    <w:rsid w:val="0F933462"/>
    <w:rsid w:val="0F9A44A5"/>
    <w:rsid w:val="101E60DA"/>
    <w:rsid w:val="103462E3"/>
    <w:rsid w:val="10B912E4"/>
    <w:rsid w:val="10DB6B98"/>
    <w:rsid w:val="10E80875"/>
    <w:rsid w:val="11103FC0"/>
    <w:rsid w:val="1133517F"/>
    <w:rsid w:val="11B80C84"/>
    <w:rsid w:val="11BC0B69"/>
    <w:rsid w:val="11BF43E1"/>
    <w:rsid w:val="12184060"/>
    <w:rsid w:val="12517251"/>
    <w:rsid w:val="1258460F"/>
    <w:rsid w:val="12E70038"/>
    <w:rsid w:val="12F639E2"/>
    <w:rsid w:val="13E74406"/>
    <w:rsid w:val="13FB6919"/>
    <w:rsid w:val="145345D0"/>
    <w:rsid w:val="149D6F77"/>
    <w:rsid w:val="14C91C4B"/>
    <w:rsid w:val="14ED07AC"/>
    <w:rsid w:val="162967FA"/>
    <w:rsid w:val="16374A66"/>
    <w:rsid w:val="16E81AF3"/>
    <w:rsid w:val="170027F3"/>
    <w:rsid w:val="171811CF"/>
    <w:rsid w:val="171827FE"/>
    <w:rsid w:val="172D632D"/>
    <w:rsid w:val="17844B95"/>
    <w:rsid w:val="17F900E2"/>
    <w:rsid w:val="183D3EF6"/>
    <w:rsid w:val="18D95D07"/>
    <w:rsid w:val="193E71D4"/>
    <w:rsid w:val="19C84A25"/>
    <w:rsid w:val="19D468B0"/>
    <w:rsid w:val="19DE234E"/>
    <w:rsid w:val="19E41ED8"/>
    <w:rsid w:val="1A0F731A"/>
    <w:rsid w:val="1A2B1015"/>
    <w:rsid w:val="1AB941AF"/>
    <w:rsid w:val="1AF15D01"/>
    <w:rsid w:val="1AFC093E"/>
    <w:rsid w:val="1B07542F"/>
    <w:rsid w:val="1B4E4CA2"/>
    <w:rsid w:val="1B5C79CB"/>
    <w:rsid w:val="1B751D18"/>
    <w:rsid w:val="1BA55066"/>
    <w:rsid w:val="1BC85627"/>
    <w:rsid w:val="1C140ED2"/>
    <w:rsid w:val="1C2A4725"/>
    <w:rsid w:val="1C3A6F38"/>
    <w:rsid w:val="1C3D2078"/>
    <w:rsid w:val="1C54798F"/>
    <w:rsid w:val="1C567084"/>
    <w:rsid w:val="1C787805"/>
    <w:rsid w:val="1CA46814"/>
    <w:rsid w:val="1CAA7B42"/>
    <w:rsid w:val="1CEF08F7"/>
    <w:rsid w:val="1D1D3848"/>
    <w:rsid w:val="1D5559C4"/>
    <w:rsid w:val="1D8C49B3"/>
    <w:rsid w:val="1D9221AE"/>
    <w:rsid w:val="1DC72373"/>
    <w:rsid w:val="1DCA0ACE"/>
    <w:rsid w:val="1E624FDC"/>
    <w:rsid w:val="1E846710"/>
    <w:rsid w:val="1F095BCD"/>
    <w:rsid w:val="1F6A5B44"/>
    <w:rsid w:val="1F8C33D8"/>
    <w:rsid w:val="1FA61124"/>
    <w:rsid w:val="203F7481"/>
    <w:rsid w:val="206F0830"/>
    <w:rsid w:val="20817BA7"/>
    <w:rsid w:val="210E560A"/>
    <w:rsid w:val="213C07C4"/>
    <w:rsid w:val="21861171"/>
    <w:rsid w:val="21B22BDC"/>
    <w:rsid w:val="21C40499"/>
    <w:rsid w:val="21E203CA"/>
    <w:rsid w:val="21E679B2"/>
    <w:rsid w:val="2273010A"/>
    <w:rsid w:val="22795133"/>
    <w:rsid w:val="22EC602D"/>
    <w:rsid w:val="232048D5"/>
    <w:rsid w:val="235264F6"/>
    <w:rsid w:val="23941C99"/>
    <w:rsid w:val="239C641C"/>
    <w:rsid w:val="23B03951"/>
    <w:rsid w:val="24126235"/>
    <w:rsid w:val="24361395"/>
    <w:rsid w:val="244C1094"/>
    <w:rsid w:val="24AE46E6"/>
    <w:rsid w:val="257A7096"/>
    <w:rsid w:val="25924D78"/>
    <w:rsid w:val="25B674B8"/>
    <w:rsid w:val="25D64E62"/>
    <w:rsid w:val="2618211C"/>
    <w:rsid w:val="26883498"/>
    <w:rsid w:val="26973388"/>
    <w:rsid w:val="26A81875"/>
    <w:rsid w:val="26E21B4F"/>
    <w:rsid w:val="26E8774E"/>
    <w:rsid w:val="272F4F6B"/>
    <w:rsid w:val="273B190E"/>
    <w:rsid w:val="27831DB0"/>
    <w:rsid w:val="27977392"/>
    <w:rsid w:val="27A157A3"/>
    <w:rsid w:val="27BE3246"/>
    <w:rsid w:val="28571067"/>
    <w:rsid w:val="2859424B"/>
    <w:rsid w:val="28846FF5"/>
    <w:rsid w:val="28EA700D"/>
    <w:rsid w:val="290A3FC7"/>
    <w:rsid w:val="29331B25"/>
    <w:rsid w:val="2956362B"/>
    <w:rsid w:val="29640060"/>
    <w:rsid w:val="29E40A37"/>
    <w:rsid w:val="2A661171"/>
    <w:rsid w:val="2AA33891"/>
    <w:rsid w:val="2AD95982"/>
    <w:rsid w:val="2B003A53"/>
    <w:rsid w:val="2B0652AD"/>
    <w:rsid w:val="2B580AE3"/>
    <w:rsid w:val="2BAF43BC"/>
    <w:rsid w:val="2BEC5DDC"/>
    <w:rsid w:val="2C3867CC"/>
    <w:rsid w:val="2C601AAE"/>
    <w:rsid w:val="2C6572D5"/>
    <w:rsid w:val="2CFC09A9"/>
    <w:rsid w:val="2E805C69"/>
    <w:rsid w:val="2E833361"/>
    <w:rsid w:val="2ED93B14"/>
    <w:rsid w:val="2F2453BB"/>
    <w:rsid w:val="2F5505BD"/>
    <w:rsid w:val="2F8730B0"/>
    <w:rsid w:val="2FC36919"/>
    <w:rsid w:val="2FEA7B98"/>
    <w:rsid w:val="305A3AA8"/>
    <w:rsid w:val="30C554D9"/>
    <w:rsid w:val="30D048DF"/>
    <w:rsid w:val="30D129AB"/>
    <w:rsid w:val="3156092A"/>
    <w:rsid w:val="317A6C42"/>
    <w:rsid w:val="31D93881"/>
    <w:rsid w:val="31DB7C69"/>
    <w:rsid w:val="320F4BFD"/>
    <w:rsid w:val="32D56289"/>
    <w:rsid w:val="32FB5660"/>
    <w:rsid w:val="33081B36"/>
    <w:rsid w:val="3310790D"/>
    <w:rsid w:val="334272A8"/>
    <w:rsid w:val="34473832"/>
    <w:rsid w:val="3494403D"/>
    <w:rsid w:val="34A71EA8"/>
    <w:rsid w:val="34AA12E8"/>
    <w:rsid w:val="34B71A4D"/>
    <w:rsid w:val="34CA6468"/>
    <w:rsid w:val="34E1358D"/>
    <w:rsid w:val="34F86E65"/>
    <w:rsid w:val="35134CA0"/>
    <w:rsid w:val="352923F9"/>
    <w:rsid w:val="35A22390"/>
    <w:rsid w:val="35F049E2"/>
    <w:rsid w:val="36214303"/>
    <w:rsid w:val="362C5372"/>
    <w:rsid w:val="36425D0B"/>
    <w:rsid w:val="365340B6"/>
    <w:rsid w:val="372F21F8"/>
    <w:rsid w:val="375A10AE"/>
    <w:rsid w:val="375F18CE"/>
    <w:rsid w:val="376257E8"/>
    <w:rsid w:val="38423130"/>
    <w:rsid w:val="38484A65"/>
    <w:rsid w:val="38773C14"/>
    <w:rsid w:val="38BA2FC4"/>
    <w:rsid w:val="38F55721"/>
    <w:rsid w:val="394A53C8"/>
    <w:rsid w:val="395A2EF3"/>
    <w:rsid w:val="3980252A"/>
    <w:rsid w:val="39CA7CCC"/>
    <w:rsid w:val="3AB37B29"/>
    <w:rsid w:val="3AF1412E"/>
    <w:rsid w:val="3B020DE5"/>
    <w:rsid w:val="3B416552"/>
    <w:rsid w:val="3B5974BC"/>
    <w:rsid w:val="3BA0123F"/>
    <w:rsid w:val="3BE56851"/>
    <w:rsid w:val="3C0F349F"/>
    <w:rsid w:val="3C23667B"/>
    <w:rsid w:val="3C801A98"/>
    <w:rsid w:val="3C8131E6"/>
    <w:rsid w:val="3D40793E"/>
    <w:rsid w:val="3D603E83"/>
    <w:rsid w:val="3E093478"/>
    <w:rsid w:val="3E6E089A"/>
    <w:rsid w:val="3EB16E74"/>
    <w:rsid w:val="3EC56F29"/>
    <w:rsid w:val="3EDD7BE3"/>
    <w:rsid w:val="40AE2F11"/>
    <w:rsid w:val="40BF527A"/>
    <w:rsid w:val="4108678B"/>
    <w:rsid w:val="41112EAF"/>
    <w:rsid w:val="417001A9"/>
    <w:rsid w:val="419C3BA7"/>
    <w:rsid w:val="41F56BFC"/>
    <w:rsid w:val="41F57B59"/>
    <w:rsid w:val="420F5080"/>
    <w:rsid w:val="422D477E"/>
    <w:rsid w:val="42E10983"/>
    <w:rsid w:val="4324232E"/>
    <w:rsid w:val="43777B1A"/>
    <w:rsid w:val="44064C0A"/>
    <w:rsid w:val="440A3B00"/>
    <w:rsid w:val="44590592"/>
    <w:rsid w:val="4484504F"/>
    <w:rsid w:val="44A162CA"/>
    <w:rsid w:val="44D1498B"/>
    <w:rsid w:val="44E8224B"/>
    <w:rsid w:val="44F25A6D"/>
    <w:rsid w:val="451C3A5B"/>
    <w:rsid w:val="451F4398"/>
    <w:rsid w:val="45200C67"/>
    <w:rsid w:val="45416E53"/>
    <w:rsid w:val="45454351"/>
    <w:rsid w:val="45924B58"/>
    <w:rsid w:val="465F3606"/>
    <w:rsid w:val="476429D6"/>
    <w:rsid w:val="47642B80"/>
    <w:rsid w:val="48007DAE"/>
    <w:rsid w:val="4867562D"/>
    <w:rsid w:val="487930C8"/>
    <w:rsid w:val="48B86CF0"/>
    <w:rsid w:val="48C47CE4"/>
    <w:rsid w:val="4904130A"/>
    <w:rsid w:val="49B4471E"/>
    <w:rsid w:val="49EB0C03"/>
    <w:rsid w:val="4A1D6C12"/>
    <w:rsid w:val="4AF808DE"/>
    <w:rsid w:val="4C156106"/>
    <w:rsid w:val="4C440B37"/>
    <w:rsid w:val="4CC076E7"/>
    <w:rsid w:val="4D9A0728"/>
    <w:rsid w:val="4DDA0532"/>
    <w:rsid w:val="4E124D9C"/>
    <w:rsid w:val="4E862901"/>
    <w:rsid w:val="4F201116"/>
    <w:rsid w:val="4F4F4F27"/>
    <w:rsid w:val="4F693F55"/>
    <w:rsid w:val="4FB410C6"/>
    <w:rsid w:val="4FBA2837"/>
    <w:rsid w:val="50B47C55"/>
    <w:rsid w:val="51A750B1"/>
    <w:rsid w:val="51F50869"/>
    <w:rsid w:val="51F579D8"/>
    <w:rsid w:val="525B5B50"/>
    <w:rsid w:val="529F3413"/>
    <w:rsid w:val="52B61114"/>
    <w:rsid w:val="52D12917"/>
    <w:rsid w:val="5365200D"/>
    <w:rsid w:val="53875AEB"/>
    <w:rsid w:val="53B512FC"/>
    <w:rsid w:val="53C13730"/>
    <w:rsid w:val="53DC0B3F"/>
    <w:rsid w:val="543F2630"/>
    <w:rsid w:val="55463E0E"/>
    <w:rsid w:val="559E4D14"/>
    <w:rsid w:val="567446C9"/>
    <w:rsid w:val="56770FEB"/>
    <w:rsid w:val="570874BF"/>
    <w:rsid w:val="575E195E"/>
    <w:rsid w:val="578D661C"/>
    <w:rsid w:val="57AD45F2"/>
    <w:rsid w:val="57D93C69"/>
    <w:rsid w:val="57E15D25"/>
    <w:rsid w:val="580541DC"/>
    <w:rsid w:val="581319B2"/>
    <w:rsid w:val="583728AA"/>
    <w:rsid w:val="584C05BC"/>
    <w:rsid w:val="58931FBE"/>
    <w:rsid w:val="58E03F75"/>
    <w:rsid w:val="59236347"/>
    <w:rsid w:val="593E6804"/>
    <w:rsid w:val="59430BAC"/>
    <w:rsid w:val="59CE3870"/>
    <w:rsid w:val="5A020725"/>
    <w:rsid w:val="5A3C6788"/>
    <w:rsid w:val="5AD535F4"/>
    <w:rsid w:val="5B3E1238"/>
    <w:rsid w:val="5B822AB7"/>
    <w:rsid w:val="5BE92628"/>
    <w:rsid w:val="5C4F41DE"/>
    <w:rsid w:val="5CAF1D9D"/>
    <w:rsid w:val="5CCB15B0"/>
    <w:rsid w:val="5CCC47C3"/>
    <w:rsid w:val="5D0A24E4"/>
    <w:rsid w:val="5D754F84"/>
    <w:rsid w:val="5E6D408C"/>
    <w:rsid w:val="5F19636A"/>
    <w:rsid w:val="5F874AA3"/>
    <w:rsid w:val="5FC93642"/>
    <w:rsid w:val="5FE230D6"/>
    <w:rsid w:val="60286AAB"/>
    <w:rsid w:val="60366135"/>
    <w:rsid w:val="61313516"/>
    <w:rsid w:val="61526E4C"/>
    <w:rsid w:val="615F18A1"/>
    <w:rsid w:val="61923D34"/>
    <w:rsid w:val="621237C8"/>
    <w:rsid w:val="62B70466"/>
    <w:rsid w:val="62F83C5C"/>
    <w:rsid w:val="6333559F"/>
    <w:rsid w:val="63BB5EFC"/>
    <w:rsid w:val="63DF24D7"/>
    <w:rsid w:val="643A0CA1"/>
    <w:rsid w:val="64A33866"/>
    <w:rsid w:val="652733C9"/>
    <w:rsid w:val="653A51FC"/>
    <w:rsid w:val="65D53938"/>
    <w:rsid w:val="65F50AC7"/>
    <w:rsid w:val="66035730"/>
    <w:rsid w:val="662A3085"/>
    <w:rsid w:val="665B5863"/>
    <w:rsid w:val="66C75BBC"/>
    <w:rsid w:val="68100B3A"/>
    <w:rsid w:val="68507D37"/>
    <w:rsid w:val="68C76778"/>
    <w:rsid w:val="68C8763F"/>
    <w:rsid w:val="699A7243"/>
    <w:rsid w:val="69C56AE9"/>
    <w:rsid w:val="69CA7262"/>
    <w:rsid w:val="69F27CE2"/>
    <w:rsid w:val="6A1A25C0"/>
    <w:rsid w:val="6A1C1761"/>
    <w:rsid w:val="6A2C0CFE"/>
    <w:rsid w:val="6A815B8D"/>
    <w:rsid w:val="6A922256"/>
    <w:rsid w:val="6B186C64"/>
    <w:rsid w:val="6B472947"/>
    <w:rsid w:val="6B566C4B"/>
    <w:rsid w:val="6BB0179B"/>
    <w:rsid w:val="6C0A7F14"/>
    <w:rsid w:val="6C99199C"/>
    <w:rsid w:val="6CAA11DD"/>
    <w:rsid w:val="6CFA26D5"/>
    <w:rsid w:val="6D255124"/>
    <w:rsid w:val="6D9A4EDB"/>
    <w:rsid w:val="6E0120B8"/>
    <w:rsid w:val="6E541DB5"/>
    <w:rsid w:val="6F3940D5"/>
    <w:rsid w:val="6F3E544F"/>
    <w:rsid w:val="6F6B5E32"/>
    <w:rsid w:val="6F727C70"/>
    <w:rsid w:val="6FFE59C4"/>
    <w:rsid w:val="700E52CD"/>
    <w:rsid w:val="704F5792"/>
    <w:rsid w:val="706734D0"/>
    <w:rsid w:val="712C4F0E"/>
    <w:rsid w:val="71CE369F"/>
    <w:rsid w:val="727C5CB2"/>
    <w:rsid w:val="72B25997"/>
    <w:rsid w:val="72B44D62"/>
    <w:rsid w:val="72DE599D"/>
    <w:rsid w:val="72FD4413"/>
    <w:rsid w:val="733C2AFF"/>
    <w:rsid w:val="73446D1D"/>
    <w:rsid w:val="73C84E57"/>
    <w:rsid w:val="7472539D"/>
    <w:rsid w:val="74BB5195"/>
    <w:rsid w:val="74C651B7"/>
    <w:rsid w:val="750446A6"/>
    <w:rsid w:val="751A443D"/>
    <w:rsid w:val="755C2894"/>
    <w:rsid w:val="7623361C"/>
    <w:rsid w:val="771504D1"/>
    <w:rsid w:val="77211224"/>
    <w:rsid w:val="774D204E"/>
    <w:rsid w:val="775C0285"/>
    <w:rsid w:val="776954E8"/>
    <w:rsid w:val="7799481B"/>
    <w:rsid w:val="77C46047"/>
    <w:rsid w:val="77F0472D"/>
    <w:rsid w:val="78FD50E3"/>
    <w:rsid w:val="7A6E44BF"/>
    <w:rsid w:val="7A98230D"/>
    <w:rsid w:val="7ADE1702"/>
    <w:rsid w:val="7B1E3C29"/>
    <w:rsid w:val="7B511164"/>
    <w:rsid w:val="7B9F1C78"/>
    <w:rsid w:val="7BA04653"/>
    <w:rsid w:val="7BB26B7B"/>
    <w:rsid w:val="7C09215C"/>
    <w:rsid w:val="7C994FCB"/>
    <w:rsid w:val="7D0F2B0A"/>
    <w:rsid w:val="7D3D59DA"/>
    <w:rsid w:val="7D4A238C"/>
    <w:rsid w:val="7D706C48"/>
    <w:rsid w:val="7D7C5568"/>
    <w:rsid w:val="7DB62207"/>
    <w:rsid w:val="7E4C3758"/>
    <w:rsid w:val="7E59725B"/>
    <w:rsid w:val="7E6147C6"/>
    <w:rsid w:val="7E8C0F81"/>
    <w:rsid w:val="7ED65CF8"/>
    <w:rsid w:val="7EE00244"/>
    <w:rsid w:val="7F456492"/>
    <w:rsid w:val="7F502827"/>
    <w:rsid w:val="7F52558F"/>
    <w:rsid w:val="7F9243BE"/>
    <w:rsid w:val="7FBE5AFE"/>
    <w:rsid w:val="7FDC653E"/>
    <w:rsid w:val="7FDD7D61"/>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iPriority="99" w:name="index 1" w:locked="1"/>
    <w:lsdException w:uiPriority="99" w:name="index 2" w:locked="1"/>
    <w:lsdException w:uiPriority="99" w:name="index 3" w:locked="1"/>
    <w:lsdException w:uiPriority="99" w:name="index 4" w:locked="1"/>
    <w:lsdException w:uiPriority="99" w:name="index 5" w:locked="1"/>
    <w:lsdException w:uiPriority="99" w:name="index 6" w:locked="1"/>
    <w:lsdException w:uiPriority="99" w:name="index 7" w:locked="1"/>
    <w:lsdException w:uiPriority="99" w:name="index 8" w:locked="1"/>
    <w:lsdException w:uiPriority="99" w:name="index 9" w:locked="1"/>
    <w:lsdException w:qFormat="1" w:unhideWhenUsed="0" w:uiPriority="99" w:name="toc 1"/>
    <w:lsdException w:qFormat="1" w:unhideWhenUsed="0" w:uiPriority="99" w:name="toc 2"/>
    <w:lsdException w:qFormat="1" w:unhideWhenUsed="0" w:uiPriority="99" w:name="toc 3"/>
    <w:lsdException w:qFormat="1" w:unhideWhenUsed="0" w:uiPriority="99" w:name="toc 4"/>
    <w:lsdException w:qFormat="1" w:unhideWhenUsed="0" w:uiPriority="99" w:name="toc 5"/>
    <w:lsdException w:qFormat="1" w:unhideWhenUsed="0" w:uiPriority="99" w:name="toc 6"/>
    <w:lsdException w:qFormat="1" w:unhideWhenUsed="0" w:uiPriority="99" w:name="toc 7"/>
    <w:lsdException w:qFormat="1" w:unhideWhenUsed="0" w:uiPriority="99" w:name="toc 8"/>
    <w:lsdException w:qFormat="1" w:unhideWhenUsed="0" w:uiPriority="99" w:name="toc 9"/>
    <w:lsdException w:qFormat="1" w:unhideWhenUsed="0" w:uiPriority="99" w:semiHidden="0" w:name="Normal Indent"/>
    <w:lsdException w:qFormat="1" w:unhideWhenUsed="0"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ocked="1"/>
    <w:lsdException w:qFormat="1" w:uiPriority="35" w:name="caption" w:locked="1"/>
    <w:lsdException w:uiPriority="99" w:name="table of figures" w:locked="1"/>
    <w:lsdException w:uiPriority="99" w:name="envelope address" w:locked="1"/>
    <w:lsdException w:qFormat="1" w:unhideWhenUsed="0" w:uiPriority="99" w:semiHidden="0" w:name="envelope return" w:locked="1"/>
    <w:lsdException w:qFormat="1" w:unhideWhenUsed="0" w:uiPriority="99" w:name="footnote reference"/>
    <w:lsdException w:qFormat="1" w:unhideWhenUsed="0" w:uiPriority="99" w:name="annotation reference"/>
    <w:lsdException w:uiPriority="99" w:name="line number" w:locked="1"/>
    <w:lsdException w:qFormat="1" w:unhideWhenUsed="0" w:uiPriority="99" w:semiHidden="0" w:name="page number"/>
    <w:lsdException w:uiPriority="99" w:name="endnote reference" w:locked="1"/>
    <w:lsdException w:uiPriority="99" w:name="endnote text" w:locked="1"/>
    <w:lsdException w:uiPriority="99" w:name="table of authorities" w:locked="1"/>
    <w:lsdException w:uiPriority="99" w:name="macro" w:locked="1"/>
    <w:lsdException w:uiPriority="99" w:name="toa heading" w:locked="1"/>
    <w:lsdException w:qFormat="1" w:unhideWhenUsed="0" w:uiPriority="99" w:semiHidden="0" w:name="List"/>
    <w:lsdException w:uiPriority="99" w:name="List Bullet" w:locked="1"/>
    <w:lsdException w:uiPriority="99" w:name="List Number" w:locked="1"/>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uiPriority="99" w:name="List Bullet 2" w:locked="1"/>
    <w:lsdException w:uiPriority="99" w:name="List Bullet 3" w:locked="1"/>
    <w:lsdException w:uiPriority="99" w:name="List Bullet 4" w:locked="1"/>
    <w:lsdException w:uiPriority="99" w:name="List Bullet 5" w:locked="1"/>
    <w:lsdException w:uiPriority="99" w:name="List Number 2" w:locked="1"/>
    <w:lsdException w:uiPriority="99" w:name="List Number 3" w:locked="1"/>
    <w:lsdException w:uiPriority="99" w:name="List Number 4" w:locked="1"/>
    <w:lsdException w:uiPriority="99" w:name="List Number 5" w:locked="1"/>
    <w:lsdException w:qFormat="1" w:unhideWhenUsed="0" w:uiPriority="10" w:semiHidden="0" w:name="Title" w:locked="1"/>
    <w:lsdException w:uiPriority="99" w:name="Closing" w:locked="1"/>
    <w:lsdException w:uiPriority="99" w:name="Signature" w:locked="1"/>
    <w:lsdException w:qFormat="1" w:uiPriority="1"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uiPriority="99" w:name="Message Header" w:locked="1"/>
    <w:lsdException w:qFormat="1" w:unhideWhenUsed="0" w:uiPriority="11" w:semiHidden="0" w:name="Subtitle" w:locked="1"/>
    <w:lsdException w:uiPriority="99" w:name="Salutation" w:locked="1"/>
    <w:lsdException w:qFormat="1" w:unhideWhenUsed="0" w:uiPriority="99" w:semiHidden="0" w:name="Date"/>
    <w:lsdException w:qFormat="1" w:unhideWhenUsed="0" w:uiPriority="99" w:semiHidden="0" w:name="Body Text First Indent"/>
    <w:lsdException w:qFormat="1" w:unhideWhenUsed="0" w:uiPriority="99" w:semiHidden="0" w:name="Body Text First Indent 2" w:locked="1"/>
    <w:lsdException w:uiPriority="99" w:name="Note Heading" w:locked="1"/>
    <w:lsdException w:qFormat="1" w:unhideWhenUsed="0" w:uiPriority="99" w:semiHidden="0" w:name="Body Text 2"/>
    <w:lsdException w:uiPriority="99" w:name="Body Text 3" w:locked="1"/>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ocked="1"/>
    <w:lsdException w:qFormat="1" w:unhideWhenUsed="0" w:uiPriority="99" w:semiHidden="0" w:name="Strong" w:locked="1"/>
    <w:lsdException w:qFormat="1" w:unhideWhenUsed="0" w:uiPriority="99" w:semiHidden="0" w:name="Emphasis" w:locked="1"/>
    <w:lsdException w:qFormat="1" w:unhideWhenUsed="0" w:uiPriority="99" w:name="Document Map"/>
    <w:lsdException w:qFormat="1" w:unhideWhenUsed="0" w:uiPriority="99" w:semiHidden="0" w:name="Plain Text"/>
    <w:lsdException w:uiPriority="99" w:name="E-mail Signature" w:locked="1"/>
    <w:lsdException w:qFormat="1" w:unhideWhenUsed="0" w:uiPriority="99" w:semiHidden="0" w:name="Normal (Web)"/>
    <w:lsdException w:uiPriority="99" w:name="HTML Acronym" w:locked="1"/>
    <w:lsdException w:uiPriority="99" w:name="HTML Address" w:locked="1"/>
    <w:lsdException w:qFormat="1" w:unhideWhenUsed="0" w:uiPriority="99" w:semiHidden="0" w:name="HTML Cite" w:locked="1"/>
    <w:lsdException w:uiPriority="99" w:name="HTML Code" w:locked="1"/>
    <w:lsdException w:uiPriority="99" w:name="HTML Definition" w:locked="1"/>
    <w:lsdException w:uiPriority="99" w:name="HTML Keyboard" w:locked="1"/>
    <w:lsdException w:qFormat="1" w:unhideWhenUsed="0" w:uiPriority="99" w:semiHidden="0" w:name="HTML Preformatted"/>
    <w:lsdException w:uiPriority="99" w:name="HTML Sample" w:locked="1"/>
    <w:lsdException w:uiPriority="99" w:name="HTML Typewriter" w:locked="1"/>
    <w:lsdException w:uiPriority="99" w:name="HTML Variable" w:locked="1"/>
    <w:lsdException w:qFormat="1" w:uiPriority="99" w:name="Normal Table"/>
    <w:lsdException w:qFormat="1" w:unhideWhenUsed="0" w:uiPriority="99" w:name="annotation subject"/>
    <w:lsdException w:uiPriority="99" w:name="Table Simple 1" w:locked="1"/>
    <w:lsdException w:uiPriority="99" w:name="Table Simple 2" w:locked="1"/>
    <w:lsdException w:uiPriority="99" w:name="Table Simple 3" w:locked="1"/>
    <w:lsdException w:uiPriority="99" w:name="Table Classic 1" w:locked="1"/>
    <w:lsdException w:uiPriority="99" w:name="Table Classic 2" w:locked="1"/>
    <w:lsdException w:uiPriority="99" w:name="Table Classic 3" w:locked="1"/>
    <w:lsdException w:uiPriority="99" w:name="Table Classic 4" w:locked="1"/>
    <w:lsdException w:uiPriority="99" w:name="Table Colorful 1" w:locked="1"/>
    <w:lsdException w:uiPriority="99" w:name="Table Colorful 2" w:locked="1"/>
    <w:lsdException w:uiPriority="99" w:name="Table Colorful 3" w:locked="1"/>
    <w:lsdException w:uiPriority="99" w:name="Table Columns 1" w:locked="1"/>
    <w:lsdException w:uiPriority="99" w:name="Table Columns 2" w:locked="1"/>
    <w:lsdException w:uiPriority="99" w:name="Table Columns 3" w:locked="1"/>
    <w:lsdException w:uiPriority="99" w:name="Table Columns 4" w:locked="1"/>
    <w:lsdException w:uiPriority="99" w:name="Table Columns 5" w:locked="1"/>
    <w:lsdException w:uiPriority="99" w:name="Table Grid 1" w:locked="1"/>
    <w:lsdException w:uiPriority="99" w:name="Table Grid 2" w:locked="1"/>
    <w:lsdException w:uiPriority="99" w:name="Table Grid 3" w:locked="1"/>
    <w:lsdException w:uiPriority="99" w:name="Table Grid 4" w:locked="1"/>
    <w:lsdException w:uiPriority="99" w:name="Table Grid 5" w:locked="1"/>
    <w:lsdException w:uiPriority="99" w:name="Table Grid 6" w:locked="1"/>
    <w:lsdException w:uiPriority="99" w:name="Table Grid 7" w:locked="1"/>
    <w:lsdException w:uiPriority="99" w:name="Table Grid 8" w:locked="1"/>
    <w:lsdException w:uiPriority="99" w:name="Table List 1" w:locked="1"/>
    <w:lsdException w:uiPriority="99" w:name="Table List 2" w:locked="1"/>
    <w:lsdException w:uiPriority="99" w:name="Table List 3" w:locked="1"/>
    <w:lsdException w:uiPriority="99" w:name="Table List 4" w:locked="1"/>
    <w:lsdException w:uiPriority="99" w:name="Table List 5" w:locked="1"/>
    <w:lsdException w:uiPriority="99" w:name="Table List 6" w:locked="1"/>
    <w:lsdException w:uiPriority="99" w:name="Table List 7" w:locked="1"/>
    <w:lsdException w:uiPriority="99" w:name="Table List 8" w:locked="1"/>
    <w:lsdException w:uiPriority="99" w:name="Table 3D effects 1" w:locked="1"/>
    <w:lsdException w:uiPriority="99" w:name="Table 3D effects 2" w:locked="1"/>
    <w:lsdException w:uiPriority="99" w:name="Table 3D effects 3" w:locked="1"/>
    <w:lsdException w:uiPriority="99" w:name="Table Contemporary" w:locked="1"/>
    <w:lsdException w:uiPriority="99" w:name="Table Elegant" w:locked="1"/>
    <w:lsdException w:uiPriority="99" w:name="Table Professional" w:locked="1"/>
    <w:lsdException w:uiPriority="99" w:name="Table Subtle 1" w:locked="1"/>
    <w:lsdException w:uiPriority="99" w:name="Table Subtle 2" w:locked="1"/>
    <w:lsdException w:uiPriority="99" w:name="Table Web 1" w:locked="1"/>
    <w:lsdException w:uiPriority="99" w:name="Table Web 2" w:locked="1"/>
    <w:lsdException w:uiPriority="99" w:name="Table Web 3" w:locked="1"/>
    <w:lsdException w:qFormat="1" w:unhideWhenUsed="0" w:uiPriority="99" w:name="Balloon Text"/>
    <w:lsdException w:qFormat="1" w:unhideWhenUsed="0" w:uiPriority="99" w:semiHidden="0" w:name="Table Grid"/>
    <w:lsdException w:uiPriority="99" w:name="Table Theme" w:locked="1"/>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5">
    <w:name w:val="heading 1"/>
    <w:basedOn w:val="1"/>
    <w:next w:val="1"/>
    <w:link w:val="65"/>
    <w:qFormat/>
    <w:uiPriority w:val="99"/>
    <w:pPr>
      <w:keepNext/>
      <w:keepLines/>
      <w:adjustRightInd w:val="0"/>
      <w:spacing w:before="340" w:after="330" w:line="578" w:lineRule="atLeast"/>
      <w:textAlignment w:val="baseline"/>
      <w:outlineLvl w:val="0"/>
    </w:pPr>
    <w:rPr>
      <w:b/>
      <w:kern w:val="44"/>
      <w:sz w:val="44"/>
    </w:rPr>
  </w:style>
  <w:style w:type="paragraph" w:styleId="6">
    <w:name w:val="heading 2"/>
    <w:basedOn w:val="1"/>
    <w:next w:val="1"/>
    <w:link w:val="66"/>
    <w:qFormat/>
    <w:uiPriority w:val="99"/>
    <w:pPr>
      <w:keepNext/>
      <w:keepLines/>
      <w:adjustRightInd w:val="0"/>
      <w:spacing w:before="260" w:after="260" w:line="416" w:lineRule="atLeast"/>
      <w:textAlignment w:val="baseline"/>
      <w:outlineLvl w:val="1"/>
    </w:pPr>
    <w:rPr>
      <w:rFonts w:ascii="Arial" w:hAnsi="Arial" w:eastAsia="黑体"/>
      <w:b/>
      <w:kern w:val="0"/>
      <w:sz w:val="32"/>
    </w:rPr>
  </w:style>
  <w:style w:type="paragraph" w:styleId="7">
    <w:name w:val="heading 3"/>
    <w:basedOn w:val="1"/>
    <w:next w:val="1"/>
    <w:link w:val="67"/>
    <w:qFormat/>
    <w:uiPriority w:val="99"/>
    <w:pPr>
      <w:keepNext/>
      <w:keepLines/>
      <w:adjustRightInd w:val="0"/>
      <w:spacing w:before="260" w:after="260" w:line="416" w:lineRule="atLeast"/>
      <w:textAlignment w:val="baseline"/>
      <w:outlineLvl w:val="2"/>
    </w:pPr>
    <w:rPr>
      <w:b/>
      <w:kern w:val="0"/>
      <w:sz w:val="32"/>
    </w:rPr>
  </w:style>
  <w:style w:type="paragraph" w:styleId="8">
    <w:name w:val="heading 4"/>
    <w:basedOn w:val="1"/>
    <w:next w:val="1"/>
    <w:link w:val="68"/>
    <w:qFormat/>
    <w:uiPriority w:val="99"/>
    <w:pPr>
      <w:keepNext/>
      <w:keepLines/>
      <w:adjustRightInd w:val="0"/>
      <w:spacing w:before="280" w:after="290" w:line="376" w:lineRule="atLeast"/>
      <w:textAlignment w:val="baseline"/>
      <w:outlineLvl w:val="3"/>
    </w:pPr>
    <w:rPr>
      <w:rFonts w:ascii="Arial" w:hAnsi="Arial" w:eastAsia="黑体"/>
      <w:b/>
      <w:sz w:val="28"/>
    </w:rPr>
  </w:style>
  <w:style w:type="paragraph" w:styleId="9">
    <w:name w:val="heading 5"/>
    <w:basedOn w:val="1"/>
    <w:next w:val="1"/>
    <w:link w:val="69"/>
    <w:qFormat/>
    <w:uiPriority w:val="99"/>
    <w:pPr>
      <w:keepNext/>
      <w:keepLines/>
      <w:adjustRightInd w:val="0"/>
      <w:spacing w:before="280" w:after="290" w:line="376" w:lineRule="atLeast"/>
      <w:textAlignment w:val="baseline"/>
      <w:outlineLvl w:val="4"/>
    </w:pPr>
    <w:rPr>
      <w:b/>
      <w:kern w:val="0"/>
      <w:sz w:val="28"/>
    </w:rPr>
  </w:style>
  <w:style w:type="paragraph" w:styleId="10">
    <w:name w:val="heading 6"/>
    <w:basedOn w:val="1"/>
    <w:next w:val="1"/>
    <w:link w:val="70"/>
    <w:qFormat/>
    <w:uiPriority w:val="99"/>
    <w:pPr>
      <w:keepNext/>
      <w:keepLines/>
      <w:adjustRightInd w:val="0"/>
      <w:spacing w:before="240" w:after="64" w:line="320" w:lineRule="atLeast"/>
      <w:textAlignment w:val="baseline"/>
      <w:outlineLvl w:val="5"/>
    </w:pPr>
    <w:rPr>
      <w:rFonts w:ascii="Arial" w:hAnsi="Arial" w:eastAsia="黑体"/>
      <w:b/>
      <w:kern w:val="0"/>
      <w:sz w:val="24"/>
    </w:rPr>
  </w:style>
  <w:style w:type="paragraph" w:styleId="11">
    <w:name w:val="heading 7"/>
    <w:basedOn w:val="1"/>
    <w:next w:val="1"/>
    <w:link w:val="71"/>
    <w:qFormat/>
    <w:uiPriority w:val="99"/>
    <w:pPr>
      <w:keepNext/>
      <w:keepLines/>
      <w:adjustRightInd w:val="0"/>
      <w:spacing w:before="240" w:after="64" w:line="320" w:lineRule="atLeast"/>
      <w:textAlignment w:val="baseline"/>
      <w:outlineLvl w:val="6"/>
    </w:pPr>
    <w:rPr>
      <w:b/>
      <w:kern w:val="0"/>
      <w:sz w:val="24"/>
    </w:rPr>
  </w:style>
  <w:style w:type="paragraph" w:styleId="12">
    <w:name w:val="heading 8"/>
    <w:basedOn w:val="1"/>
    <w:next w:val="1"/>
    <w:link w:val="72"/>
    <w:qFormat/>
    <w:uiPriority w:val="99"/>
    <w:pPr>
      <w:keepNext/>
      <w:keepLines/>
      <w:adjustRightInd w:val="0"/>
      <w:spacing w:before="240" w:after="64" w:line="320" w:lineRule="atLeast"/>
      <w:textAlignment w:val="baseline"/>
      <w:outlineLvl w:val="7"/>
    </w:pPr>
    <w:rPr>
      <w:rFonts w:ascii="Arial" w:hAnsi="Arial" w:eastAsia="黑体"/>
      <w:kern w:val="0"/>
      <w:sz w:val="24"/>
    </w:rPr>
  </w:style>
  <w:style w:type="paragraph" w:styleId="13">
    <w:name w:val="heading 9"/>
    <w:basedOn w:val="1"/>
    <w:next w:val="1"/>
    <w:link w:val="73"/>
    <w:qFormat/>
    <w:uiPriority w:val="99"/>
    <w:pPr>
      <w:keepNext/>
      <w:keepLines/>
      <w:adjustRightInd w:val="0"/>
      <w:spacing w:before="240" w:after="64" w:line="320" w:lineRule="atLeast"/>
      <w:textAlignment w:val="baseline"/>
      <w:outlineLvl w:val="8"/>
    </w:pPr>
    <w:rPr>
      <w:rFonts w:ascii="Arial" w:hAnsi="Arial" w:eastAsia="黑体"/>
      <w:kern w:val="0"/>
    </w:rPr>
  </w:style>
  <w:style w:type="character" w:default="1" w:styleId="54">
    <w:name w:val="Default Paragraph Font"/>
    <w:semiHidden/>
    <w:unhideWhenUsed/>
    <w:qFormat/>
    <w:uiPriority w:val="1"/>
  </w:style>
  <w:style w:type="table" w:default="1" w:styleId="5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90"/>
    <w:qFormat/>
    <w:locked/>
    <w:uiPriority w:val="99"/>
    <w:pPr>
      <w:ind w:firstLine="420" w:firstLineChars="200"/>
    </w:pPr>
  </w:style>
  <w:style w:type="paragraph" w:styleId="3">
    <w:name w:val="Body Text Indent"/>
    <w:basedOn w:val="1"/>
    <w:next w:val="4"/>
    <w:link w:val="77"/>
    <w:qFormat/>
    <w:uiPriority w:val="99"/>
    <w:pPr>
      <w:spacing w:after="156"/>
      <w:ind w:firstLine="480"/>
    </w:pPr>
    <w:rPr>
      <w:sz w:val="24"/>
    </w:rPr>
  </w:style>
  <w:style w:type="paragraph" w:styleId="4">
    <w:name w:val="envelope return"/>
    <w:basedOn w:val="1"/>
    <w:qFormat/>
    <w:locked/>
    <w:uiPriority w:val="99"/>
    <w:pPr>
      <w:snapToGrid w:val="0"/>
    </w:pPr>
    <w:rPr>
      <w:rFonts w:ascii="Arial" w:hAnsi="Arial"/>
    </w:rPr>
  </w:style>
  <w:style w:type="paragraph" w:styleId="14">
    <w:name w:val="List 3"/>
    <w:basedOn w:val="1"/>
    <w:qFormat/>
    <w:uiPriority w:val="99"/>
    <w:pPr>
      <w:ind w:left="100" w:leftChars="400" w:hanging="200" w:hangingChars="200"/>
    </w:pPr>
  </w:style>
  <w:style w:type="paragraph" w:styleId="15">
    <w:name w:val="toc 7"/>
    <w:basedOn w:val="1"/>
    <w:next w:val="1"/>
    <w:semiHidden/>
    <w:qFormat/>
    <w:uiPriority w:val="99"/>
    <w:pPr>
      <w:ind w:left="1260"/>
      <w:jc w:val="left"/>
    </w:pPr>
    <w:rPr>
      <w:sz w:val="18"/>
    </w:rPr>
  </w:style>
  <w:style w:type="paragraph" w:styleId="16">
    <w:name w:val="Normal Indent"/>
    <w:basedOn w:val="1"/>
    <w:link w:val="101"/>
    <w:qFormat/>
    <w:uiPriority w:val="99"/>
    <w:pPr>
      <w:ind w:firstLine="420"/>
    </w:pPr>
  </w:style>
  <w:style w:type="paragraph" w:styleId="17">
    <w:name w:val="Document Map"/>
    <w:basedOn w:val="1"/>
    <w:link w:val="75"/>
    <w:semiHidden/>
    <w:qFormat/>
    <w:uiPriority w:val="99"/>
    <w:pPr>
      <w:shd w:val="clear" w:color="auto" w:fill="000080"/>
    </w:pPr>
  </w:style>
  <w:style w:type="paragraph" w:styleId="18">
    <w:name w:val="annotation text"/>
    <w:basedOn w:val="1"/>
    <w:link w:val="76"/>
    <w:semiHidden/>
    <w:qFormat/>
    <w:uiPriority w:val="99"/>
    <w:pPr>
      <w:jc w:val="left"/>
    </w:pPr>
  </w:style>
  <w:style w:type="paragraph" w:styleId="19">
    <w:name w:val="Body Text"/>
    <w:basedOn w:val="1"/>
    <w:next w:val="20"/>
    <w:link w:val="74"/>
    <w:qFormat/>
    <w:uiPriority w:val="99"/>
    <w:rPr>
      <w:sz w:val="24"/>
    </w:rPr>
  </w:style>
  <w:style w:type="paragraph" w:customStyle="1" w:styleId="20">
    <w:name w:val="Default"/>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styleId="21">
    <w:name w:val="List 2"/>
    <w:basedOn w:val="1"/>
    <w:qFormat/>
    <w:uiPriority w:val="99"/>
    <w:pPr>
      <w:ind w:left="100" w:leftChars="200" w:hanging="200" w:hangingChars="200"/>
    </w:pPr>
  </w:style>
  <w:style w:type="paragraph" w:styleId="22">
    <w:name w:val="List Continue"/>
    <w:basedOn w:val="1"/>
    <w:qFormat/>
    <w:uiPriority w:val="99"/>
    <w:pPr>
      <w:spacing w:after="120"/>
      <w:ind w:left="420" w:leftChars="200"/>
    </w:pPr>
  </w:style>
  <w:style w:type="paragraph" w:styleId="23">
    <w:name w:val="Block Text"/>
    <w:basedOn w:val="1"/>
    <w:qFormat/>
    <w:uiPriority w:val="99"/>
    <w:pPr>
      <w:autoSpaceDE w:val="0"/>
      <w:autoSpaceDN w:val="0"/>
      <w:adjustRightInd w:val="0"/>
      <w:spacing w:line="300" w:lineRule="auto"/>
      <w:ind w:left="29" w:leftChars="12" w:right="6" w:firstLine="560" w:firstLineChars="200"/>
    </w:pPr>
    <w:rPr>
      <w:kern w:val="0"/>
      <w:sz w:val="28"/>
    </w:rPr>
  </w:style>
  <w:style w:type="paragraph" w:styleId="24">
    <w:name w:val="toc 5"/>
    <w:basedOn w:val="1"/>
    <w:next w:val="1"/>
    <w:semiHidden/>
    <w:qFormat/>
    <w:uiPriority w:val="99"/>
    <w:pPr>
      <w:ind w:left="840"/>
      <w:jc w:val="left"/>
    </w:pPr>
    <w:rPr>
      <w:sz w:val="18"/>
    </w:rPr>
  </w:style>
  <w:style w:type="paragraph" w:styleId="25">
    <w:name w:val="toc 3"/>
    <w:basedOn w:val="1"/>
    <w:next w:val="1"/>
    <w:semiHidden/>
    <w:qFormat/>
    <w:uiPriority w:val="99"/>
    <w:pPr>
      <w:ind w:left="420"/>
      <w:jc w:val="left"/>
    </w:pPr>
    <w:rPr>
      <w:i/>
      <w:sz w:val="20"/>
    </w:rPr>
  </w:style>
  <w:style w:type="paragraph" w:styleId="26">
    <w:name w:val="Plain Text"/>
    <w:basedOn w:val="1"/>
    <w:link w:val="78"/>
    <w:qFormat/>
    <w:uiPriority w:val="99"/>
    <w:rPr>
      <w:rFonts w:ascii="宋体" w:hAnsi="Courier New"/>
    </w:rPr>
  </w:style>
  <w:style w:type="paragraph" w:styleId="27">
    <w:name w:val="toc 8"/>
    <w:basedOn w:val="1"/>
    <w:next w:val="1"/>
    <w:semiHidden/>
    <w:qFormat/>
    <w:uiPriority w:val="99"/>
    <w:pPr>
      <w:ind w:left="1470"/>
      <w:jc w:val="left"/>
    </w:pPr>
    <w:rPr>
      <w:sz w:val="18"/>
    </w:rPr>
  </w:style>
  <w:style w:type="paragraph" w:styleId="28">
    <w:name w:val="Date"/>
    <w:basedOn w:val="1"/>
    <w:next w:val="1"/>
    <w:link w:val="79"/>
    <w:qFormat/>
    <w:uiPriority w:val="99"/>
    <w:pPr>
      <w:widowControl/>
      <w:ind w:left="100"/>
      <w:jc w:val="left"/>
    </w:pPr>
    <w:rPr>
      <w:rFonts w:ascii="宋体" w:hAnsi="宋体"/>
      <w:kern w:val="0"/>
      <w:sz w:val="28"/>
    </w:rPr>
  </w:style>
  <w:style w:type="paragraph" w:styleId="29">
    <w:name w:val="Body Text Indent 2"/>
    <w:basedOn w:val="1"/>
    <w:link w:val="80"/>
    <w:qFormat/>
    <w:uiPriority w:val="99"/>
    <w:pPr>
      <w:ind w:left="1436" w:leftChars="684"/>
    </w:pPr>
    <w:rPr>
      <w:sz w:val="24"/>
    </w:rPr>
  </w:style>
  <w:style w:type="paragraph" w:styleId="30">
    <w:name w:val="List Continue 5"/>
    <w:basedOn w:val="1"/>
    <w:qFormat/>
    <w:uiPriority w:val="99"/>
    <w:pPr>
      <w:spacing w:after="120"/>
      <w:ind w:left="2100" w:leftChars="1000"/>
    </w:pPr>
  </w:style>
  <w:style w:type="paragraph" w:styleId="31">
    <w:name w:val="Balloon Text"/>
    <w:basedOn w:val="1"/>
    <w:link w:val="81"/>
    <w:semiHidden/>
    <w:qFormat/>
    <w:uiPriority w:val="99"/>
    <w:rPr>
      <w:sz w:val="18"/>
    </w:rPr>
  </w:style>
  <w:style w:type="paragraph" w:styleId="32">
    <w:name w:val="footer"/>
    <w:basedOn w:val="1"/>
    <w:link w:val="82"/>
    <w:qFormat/>
    <w:uiPriority w:val="99"/>
    <w:pPr>
      <w:tabs>
        <w:tab w:val="center" w:pos="4153"/>
        <w:tab w:val="right" w:pos="8306"/>
      </w:tabs>
      <w:snapToGrid w:val="0"/>
      <w:jc w:val="left"/>
    </w:pPr>
    <w:rPr>
      <w:sz w:val="18"/>
    </w:rPr>
  </w:style>
  <w:style w:type="paragraph" w:styleId="33">
    <w:name w:val="header"/>
    <w:basedOn w:val="1"/>
    <w:link w:val="83"/>
    <w:qFormat/>
    <w:uiPriority w:val="99"/>
    <w:pPr>
      <w:pBdr>
        <w:bottom w:val="single" w:color="auto" w:sz="6" w:space="1"/>
      </w:pBdr>
      <w:tabs>
        <w:tab w:val="center" w:pos="4153"/>
        <w:tab w:val="right" w:pos="8306"/>
      </w:tabs>
      <w:snapToGrid w:val="0"/>
      <w:jc w:val="center"/>
    </w:pPr>
    <w:rPr>
      <w:sz w:val="18"/>
    </w:rPr>
  </w:style>
  <w:style w:type="paragraph" w:styleId="34">
    <w:name w:val="toc 1"/>
    <w:basedOn w:val="1"/>
    <w:next w:val="1"/>
    <w:semiHidden/>
    <w:qFormat/>
    <w:uiPriority w:val="99"/>
    <w:pPr>
      <w:tabs>
        <w:tab w:val="left" w:pos="840"/>
        <w:tab w:val="right" w:leader="dot" w:pos="9402"/>
      </w:tabs>
      <w:adjustRightInd w:val="0"/>
      <w:snapToGrid w:val="0"/>
      <w:spacing w:line="360" w:lineRule="auto"/>
      <w:jc w:val="left"/>
    </w:pPr>
    <w:rPr>
      <w:rFonts w:ascii="Arial" w:hAnsi="宋体"/>
      <w:caps/>
      <w:w w:val="80"/>
      <w:sz w:val="24"/>
    </w:rPr>
  </w:style>
  <w:style w:type="paragraph" w:styleId="35">
    <w:name w:val="List Continue 4"/>
    <w:basedOn w:val="1"/>
    <w:qFormat/>
    <w:uiPriority w:val="99"/>
    <w:pPr>
      <w:spacing w:after="120"/>
      <w:ind w:left="1680" w:leftChars="800"/>
    </w:pPr>
  </w:style>
  <w:style w:type="paragraph" w:styleId="36">
    <w:name w:val="toc 4"/>
    <w:basedOn w:val="1"/>
    <w:next w:val="1"/>
    <w:semiHidden/>
    <w:qFormat/>
    <w:uiPriority w:val="99"/>
    <w:pPr>
      <w:tabs>
        <w:tab w:val="left" w:pos="1080"/>
        <w:tab w:val="right" w:leader="dot" w:pos="9125"/>
      </w:tabs>
      <w:adjustRightInd w:val="0"/>
      <w:snapToGrid w:val="0"/>
      <w:spacing w:line="360" w:lineRule="auto"/>
      <w:jc w:val="left"/>
    </w:pPr>
    <w:rPr>
      <w:sz w:val="18"/>
    </w:rPr>
  </w:style>
  <w:style w:type="paragraph" w:styleId="37">
    <w:name w:val="List"/>
    <w:basedOn w:val="1"/>
    <w:qFormat/>
    <w:uiPriority w:val="99"/>
    <w:pPr>
      <w:ind w:left="200" w:hanging="200" w:hangingChars="200"/>
    </w:pPr>
  </w:style>
  <w:style w:type="paragraph" w:styleId="38">
    <w:name w:val="footnote text"/>
    <w:basedOn w:val="1"/>
    <w:link w:val="84"/>
    <w:semiHidden/>
    <w:qFormat/>
    <w:uiPriority w:val="99"/>
    <w:pPr>
      <w:snapToGrid w:val="0"/>
      <w:jc w:val="left"/>
    </w:pPr>
    <w:rPr>
      <w:sz w:val="18"/>
    </w:rPr>
  </w:style>
  <w:style w:type="paragraph" w:styleId="39">
    <w:name w:val="toc 6"/>
    <w:basedOn w:val="1"/>
    <w:next w:val="1"/>
    <w:semiHidden/>
    <w:qFormat/>
    <w:uiPriority w:val="99"/>
    <w:pPr>
      <w:ind w:left="1050"/>
      <w:jc w:val="left"/>
    </w:pPr>
    <w:rPr>
      <w:sz w:val="18"/>
    </w:rPr>
  </w:style>
  <w:style w:type="paragraph" w:styleId="40">
    <w:name w:val="List 5"/>
    <w:basedOn w:val="1"/>
    <w:qFormat/>
    <w:uiPriority w:val="99"/>
    <w:pPr>
      <w:ind w:left="100" w:leftChars="800" w:hanging="200" w:hangingChars="200"/>
    </w:pPr>
  </w:style>
  <w:style w:type="paragraph" w:styleId="41">
    <w:name w:val="Body Text Indent 3"/>
    <w:basedOn w:val="1"/>
    <w:link w:val="85"/>
    <w:qFormat/>
    <w:uiPriority w:val="99"/>
    <w:pPr>
      <w:spacing w:after="120"/>
      <w:ind w:left="420" w:leftChars="200"/>
    </w:pPr>
    <w:rPr>
      <w:sz w:val="16"/>
    </w:rPr>
  </w:style>
  <w:style w:type="paragraph" w:styleId="42">
    <w:name w:val="toc 2"/>
    <w:basedOn w:val="1"/>
    <w:next w:val="1"/>
    <w:semiHidden/>
    <w:qFormat/>
    <w:uiPriority w:val="99"/>
    <w:pPr>
      <w:ind w:left="210"/>
      <w:jc w:val="left"/>
    </w:pPr>
    <w:rPr>
      <w:smallCaps/>
      <w:sz w:val="20"/>
    </w:rPr>
  </w:style>
  <w:style w:type="paragraph" w:styleId="43">
    <w:name w:val="toc 9"/>
    <w:basedOn w:val="1"/>
    <w:next w:val="1"/>
    <w:semiHidden/>
    <w:qFormat/>
    <w:uiPriority w:val="99"/>
    <w:pPr>
      <w:ind w:left="1680"/>
      <w:jc w:val="left"/>
    </w:pPr>
    <w:rPr>
      <w:sz w:val="18"/>
    </w:rPr>
  </w:style>
  <w:style w:type="paragraph" w:styleId="44">
    <w:name w:val="Body Text 2"/>
    <w:basedOn w:val="1"/>
    <w:link w:val="86"/>
    <w:qFormat/>
    <w:uiPriority w:val="99"/>
    <w:rPr>
      <w:rFonts w:ascii="宋体" w:hAnsi="宋体"/>
      <w:sz w:val="24"/>
    </w:rPr>
  </w:style>
  <w:style w:type="paragraph" w:styleId="45">
    <w:name w:val="List 4"/>
    <w:basedOn w:val="1"/>
    <w:qFormat/>
    <w:uiPriority w:val="99"/>
    <w:pPr>
      <w:ind w:left="100" w:leftChars="600" w:hanging="200" w:hangingChars="200"/>
    </w:pPr>
  </w:style>
  <w:style w:type="paragraph" w:styleId="46">
    <w:name w:val="List Continue 2"/>
    <w:basedOn w:val="1"/>
    <w:qFormat/>
    <w:uiPriority w:val="99"/>
    <w:pPr>
      <w:spacing w:after="120"/>
      <w:ind w:left="840" w:leftChars="400"/>
    </w:pPr>
  </w:style>
  <w:style w:type="paragraph" w:styleId="47">
    <w:name w:val="HTML Preformatted"/>
    <w:basedOn w:val="1"/>
    <w:link w:val="87"/>
    <w:qFormat/>
    <w:uiPriority w:val="99"/>
    <w:rPr>
      <w:rFonts w:ascii="Courier New" w:hAnsi="Courier New"/>
      <w:sz w:val="20"/>
    </w:rPr>
  </w:style>
  <w:style w:type="paragraph" w:styleId="48">
    <w:name w:val="Normal (Web)"/>
    <w:basedOn w:val="1"/>
    <w:qFormat/>
    <w:uiPriority w:val="99"/>
    <w:pPr>
      <w:widowControl/>
      <w:spacing w:before="100" w:beforeAutospacing="1" w:after="100" w:afterAutospacing="1"/>
      <w:jc w:val="left"/>
    </w:pPr>
    <w:rPr>
      <w:rFonts w:ascii="宋体" w:hAnsi="宋体"/>
      <w:kern w:val="0"/>
      <w:sz w:val="24"/>
    </w:rPr>
  </w:style>
  <w:style w:type="paragraph" w:styleId="49">
    <w:name w:val="List Continue 3"/>
    <w:basedOn w:val="1"/>
    <w:qFormat/>
    <w:uiPriority w:val="99"/>
    <w:pPr>
      <w:spacing w:after="120"/>
      <w:ind w:left="1260" w:leftChars="600"/>
    </w:pPr>
  </w:style>
  <w:style w:type="paragraph" w:styleId="50">
    <w:name w:val="annotation subject"/>
    <w:basedOn w:val="18"/>
    <w:next w:val="18"/>
    <w:link w:val="88"/>
    <w:semiHidden/>
    <w:qFormat/>
    <w:uiPriority w:val="99"/>
    <w:rPr>
      <w:b/>
    </w:rPr>
  </w:style>
  <w:style w:type="paragraph" w:styleId="51">
    <w:name w:val="Body Text First Indent"/>
    <w:basedOn w:val="1"/>
    <w:link w:val="89"/>
    <w:qFormat/>
    <w:uiPriority w:val="99"/>
    <w:pPr>
      <w:spacing w:line="360" w:lineRule="auto"/>
      <w:ind w:firstLine="482"/>
    </w:pPr>
    <w:rPr>
      <w:b/>
      <w:sz w:val="24"/>
    </w:rPr>
  </w:style>
  <w:style w:type="table" w:styleId="53">
    <w:name w:val="Table Grid"/>
    <w:basedOn w:val="52"/>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55">
    <w:name w:val="Strong"/>
    <w:basedOn w:val="54"/>
    <w:qFormat/>
    <w:locked/>
    <w:uiPriority w:val="99"/>
    <w:rPr>
      <w:rFonts w:cs="Times New Roman"/>
      <w:b/>
    </w:rPr>
  </w:style>
  <w:style w:type="character" w:styleId="56">
    <w:name w:val="page number"/>
    <w:basedOn w:val="54"/>
    <w:qFormat/>
    <w:uiPriority w:val="99"/>
    <w:rPr>
      <w:rFonts w:cs="Times New Roman"/>
    </w:rPr>
  </w:style>
  <w:style w:type="character" w:styleId="57">
    <w:name w:val="FollowedHyperlink"/>
    <w:basedOn w:val="54"/>
    <w:qFormat/>
    <w:locked/>
    <w:uiPriority w:val="99"/>
    <w:rPr>
      <w:rFonts w:cs="Times New Roman"/>
      <w:color w:val="800080"/>
      <w:u w:val="single"/>
    </w:rPr>
  </w:style>
  <w:style w:type="character" w:styleId="58">
    <w:name w:val="Emphasis"/>
    <w:basedOn w:val="54"/>
    <w:qFormat/>
    <w:locked/>
    <w:uiPriority w:val="99"/>
    <w:rPr>
      <w:rFonts w:cs="Times New Roman"/>
      <w:color w:val="CC0000"/>
    </w:rPr>
  </w:style>
  <w:style w:type="character" w:styleId="59">
    <w:name w:val="Hyperlink"/>
    <w:basedOn w:val="54"/>
    <w:qFormat/>
    <w:uiPriority w:val="99"/>
    <w:rPr>
      <w:rFonts w:cs="Times New Roman"/>
      <w:color w:val="0000FF"/>
      <w:u w:val="single"/>
    </w:rPr>
  </w:style>
  <w:style w:type="character" w:styleId="60">
    <w:name w:val="annotation reference"/>
    <w:basedOn w:val="54"/>
    <w:semiHidden/>
    <w:qFormat/>
    <w:uiPriority w:val="99"/>
    <w:rPr>
      <w:rFonts w:cs="Times New Roman"/>
      <w:sz w:val="21"/>
    </w:rPr>
  </w:style>
  <w:style w:type="character" w:styleId="61">
    <w:name w:val="HTML Cite"/>
    <w:basedOn w:val="54"/>
    <w:qFormat/>
    <w:locked/>
    <w:uiPriority w:val="99"/>
    <w:rPr>
      <w:rFonts w:cs="Times New Roman"/>
      <w:color w:val="008000"/>
    </w:rPr>
  </w:style>
  <w:style w:type="character" w:styleId="62">
    <w:name w:val="footnote reference"/>
    <w:basedOn w:val="54"/>
    <w:semiHidden/>
    <w:qFormat/>
    <w:uiPriority w:val="99"/>
    <w:rPr>
      <w:rFonts w:cs="Times New Roman"/>
      <w:vertAlign w:val="superscript"/>
    </w:rPr>
  </w:style>
  <w:style w:type="paragraph" w:customStyle="1" w:styleId="63">
    <w:name w:val="正文1"/>
    <w:basedOn w:val="1"/>
    <w:qFormat/>
    <w:uiPriority w:val="0"/>
    <w:pPr>
      <w:spacing w:line="360" w:lineRule="auto"/>
      <w:ind w:firstLine="361"/>
    </w:pPr>
    <w:rPr>
      <w:rFonts w:ascii="宋体" w:hAnsi="宋体"/>
      <w:szCs w:val="24"/>
    </w:rPr>
  </w:style>
  <w:style w:type="paragraph" w:customStyle="1" w:styleId="64">
    <w:name w:val="正文首行缩进 21"/>
    <w:basedOn w:val="3"/>
    <w:unhideWhenUsed/>
    <w:qFormat/>
    <w:uiPriority w:val="99"/>
    <w:pPr>
      <w:ind w:firstLine="200" w:firstLineChars="200"/>
    </w:pPr>
  </w:style>
  <w:style w:type="character" w:customStyle="1" w:styleId="65">
    <w:name w:val="标题 1 Char"/>
    <w:basedOn w:val="54"/>
    <w:link w:val="5"/>
    <w:qFormat/>
    <w:locked/>
    <w:uiPriority w:val="99"/>
    <w:rPr>
      <w:b/>
      <w:kern w:val="44"/>
      <w:sz w:val="44"/>
    </w:rPr>
  </w:style>
  <w:style w:type="character" w:customStyle="1" w:styleId="66">
    <w:name w:val="标题 2 Char"/>
    <w:basedOn w:val="54"/>
    <w:link w:val="6"/>
    <w:qFormat/>
    <w:locked/>
    <w:uiPriority w:val="99"/>
    <w:rPr>
      <w:rFonts w:ascii="Arial" w:hAnsi="Arial" w:eastAsia="黑体"/>
      <w:b/>
      <w:sz w:val="32"/>
    </w:rPr>
  </w:style>
  <w:style w:type="character" w:customStyle="1" w:styleId="67">
    <w:name w:val="标题 3 Char"/>
    <w:basedOn w:val="54"/>
    <w:link w:val="7"/>
    <w:semiHidden/>
    <w:qFormat/>
    <w:uiPriority w:val="9"/>
    <w:rPr>
      <w:b/>
      <w:bCs/>
      <w:sz w:val="32"/>
      <w:szCs w:val="32"/>
    </w:rPr>
  </w:style>
  <w:style w:type="character" w:customStyle="1" w:styleId="68">
    <w:name w:val="标题 4 Char"/>
    <w:basedOn w:val="54"/>
    <w:link w:val="8"/>
    <w:qFormat/>
    <w:locked/>
    <w:uiPriority w:val="99"/>
    <w:rPr>
      <w:rFonts w:ascii="Arial" w:hAnsi="Arial" w:eastAsia="黑体"/>
      <w:b/>
      <w:kern w:val="2"/>
      <w:sz w:val="28"/>
      <w:lang w:val="en-US" w:eastAsia="zh-CN"/>
    </w:rPr>
  </w:style>
  <w:style w:type="character" w:customStyle="1" w:styleId="69">
    <w:name w:val="标题 5 Char"/>
    <w:basedOn w:val="54"/>
    <w:link w:val="9"/>
    <w:semiHidden/>
    <w:qFormat/>
    <w:uiPriority w:val="9"/>
    <w:rPr>
      <w:b/>
      <w:bCs/>
      <w:sz w:val="28"/>
      <w:szCs w:val="28"/>
    </w:rPr>
  </w:style>
  <w:style w:type="character" w:customStyle="1" w:styleId="70">
    <w:name w:val="标题 6 Char"/>
    <w:basedOn w:val="54"/>
    <w:link w:val="10"/>
    <w:semiHidden/>
    <w:qFormat/>
    <w:uiPriority w:val="9"/>
    <w:rPr>
      <w:rFonts w:ascii="Cambria" w:hAnsi="Cambria" w:eastAsia="宋体" w:cs="Times New Roman"/>
      <w:b/>
      <w:bCs/>
      <w:sz w:val="24"/>
      <w:szCs w:val="24"/>
    </w:rPr>
  </w:style>
  <w:style w:type="character" w:customStyle="1" w:styleId="71">
    <w:name w:val="标题 7 Char"/>
    <w:basedOn w:val="54"/>
    <w:link w:val="11"/>
    <w:semiHidden/>
    <w:qFormat/>
    <w:uiPriority w:val="9"/>
    <w:rPr>
      <w:b/>
      <w:bCs/>
      <w:sz w:val="24"/>
      <w:szCs w:val="24"/>
    </w:rPr>
  </w:style>
  <w:style w:type="character" w:customStyle="1" w:styleId="72">
    <w:name w:val="标题 8 Char"/>
    <w:basedOn w:val="54"/>
    <w:link w:val="12"/>
    <w:semiHidden/>
    <w:qFormat/>
    <w:uiPriority w:val="9"/>
    <w:rPr>
      <w:rFonts w:ascii="Cambria" w:hAnsi="Cambria" w:eastAsia="宋体" w:cs="Times New Roman"/>
      <w:sz w:val="24"/>
      <w:szCs w:val="24"/>
    </w:rPr>
  </w:style>
  <w:style w:type="character" w:customStyle="1" w:styleId="73">
    <w:name w:val="标题 9 Char"/>
    <w:basedOn w:val="54"/>
    <w:link w:val="13"/>
    <w:semiHidden/>
    <w:qFormat/>
    <w:uiPriority w:val="9"/>
    <w:rPr>
      <w:rFonts w:ascii="Cambria" w:hAnsi="Cambria" w:eastAsia="宋体" w:cs="Times New Roman"/>
      <w:szCs w:val="21"/>
    </w:rPr>
  </w:style>
  <w:style w:type="character" w:customStyle="1" w:styleId="74">
    <w:name w:val="正文文本 Char"/>
    <w:basedOn w:val="54"/>
    <w:link w:val="19"/>
    <w:semiHidden/>
    <w:qFormat/>
    <w:uiPriority w:val="99"/>
    <w:rPr>
      <w:szCs w:val="20"/>
    </w:rPr>
  </w:style>
  <w:style w:type="character" w:customStyle="1" w:styleId="75">
    <w:name w:val="文档结构图 Char"/>
    <w:basedOn w:val="54"/>
    <w:link w:val="17"/>
    <w:semiHidden/>
    <w:qFormat/>
    <w:uiPriority w:val="99"/>
    <w:rPr>
      <w:sz w:val="0"/>
      <w:szCs w:val="0"/>
    </w:rPr>
  </w:style>
  <w:style w:type="character" w:customStyle="1" w:styleId="76">
    <w:name w:val="批注文字 Char"/>
    <w:basedOn w:val="54"/>
    <w:link w:val="18"/>
    <w:qFormat/>
    <w:locked/>
    <w:uiPriority w:val="99"/>
    <w:rPr>
      <w:kern w:val="2"/>
      <w:sz w:val="21"/>
    </w:rPr>
  </w:style>
  <w:style w:type="character" w:customStyle="1" w:styleId="77">
    <w:name w:val="正文文本缩进 Char"/>
    <w:basedOn w:val="54"/>
    <w:link w:val="3"/>
    <w:qFormat/>
    <w:locked/>
    <w:uiPriority w:val="99"/>
    <w:rPr>
      <w:kern w:val="2"/>
      <w:sz w:val="24"/>
    </w:rPr>
  </w:style>
  <w:style w:type="character" w:customStyle="1" w:styleId="78">
    <w:name w:val="纯文本 Char"/>
    <w:basedOn w:val="54"/>
    <w:link w:val="26"/>
    <w:semiHidden/>
    <w:qFormat/>
    <w:uiPriority w:val="99"/>
    <w:rPr>
      <w:rFonts w:ascii="宋体" w:hAnsi="Courier New" w:cs="Courier New"/>
      <w:szCs w:val="21"/>
    </w:rPr>
  </w:style>
  <w:style w:type="character" w:customStyle="1" w:styleId="79">
    <w:name w:val="日期 Char"/>
    <w:basedOn w:val="54"/>
    <w:link w:val="28"/>
    <w:semiHidden/>
    <w:qFormat/>
    <w:uiPriority w:val="99"/>
    <w:rPr>
      <w:szCs w:val="20"/>
    </w:rPr>
  </w:style>
  <w:style w:type="character" w:customStyle="1" w:styleId="80">
    <w:name w:val="正文文本缩进 2 Char"/>
    <w:basedOn w:val="54"/>
    <w:link w:val="29"/>
    <w:semiHidden/>
    <w:qFormat/>
    <w:uiPriority w:val="99"/>
    <w:rPr>
      <w:szCs w:val="20"/>
    </w:rPr>
  </w:style>
  <w:style w:type="character" w:customStyle="1" w:styleId="81">
    <w:name w:val="批注框文本 Char"/>
    <w:basedOn w:val="54"/>
    <w:link w:val="31"/>
    <w:qFormat/>
    <w:locked/>
    <w:uiPriority w:val="99"/>
    <w:rPr>
      <w:rFonts w:eastAsia="宋体"/>
      <w:kern w:val="2"/>
      <w:sz w:val="18"/>
      <w:lang w:val="en-US" w:eastAsia="zh-CN"/>
    </w:rPr>
  </w:style>
  <w:style w:type="character" w:customStyle="1" w:styleId="82">
    <w:name w:val="页脚 Char"/>
    <w:basedOn w:val="54"/>
    <w:link w:val="32"/>
    <w:qFormat/>
    <w:locked/>
    <w:uiPriority w:val="99"/>
    <w:rPr>
      <w:kern w:val="2"/>
      <w:sz w:val="18"/>
    </w:rPr>
  </w:style>
  <w:style w:type="character" w:customStyle="1" w:styleId="83">
    <w:name w:val="页眉 Char"/>
    <w:basedOn w:val="54"/>
    <w:link w:val="33"/>
    <w:semiHidden/>
    <w:qFormat/>
    <w:uiPriority w:val="99"/>
    <w:rPr>
      <w:sz w:val="18"/>
      <w:szCs w:val="18"/>
    </w:rPr>
  </w:style>
  <w:style w:type="character" w:customStyle="1" w:styleId="84">
    <w:name w:val="脚注文本 Char"/>
    <w:basedOn w:val="54"/>
    <w:link w:val="38"/>
    <w:semiHidden/>
    <w:qFormat/>
    <w:uiPriority w:val="99"/>
    <w:rPr>
      <w:sz w:val="18"/>
      <w:szCs w:val="18"/>
    </w:rPr>
  </w:style>
  <w:style w:type="character" w:customStyle="1" w:styleId="85">
    <w:name w:val="正文文本缩进 3 Char"/>
    <w:basedOn w:val="54"/>
    <w:link w:val="41"/>
    <w:semiHidden/>
    <w:qFormat/>
    <w:uiPriority w:val="99"/>
    <w:rPr>
      <w:sz w:val="16"/>
      <w:szCs w:val="16"/>
    </w:rPr>
  </w:style>
  <w:style w:type="character" w:customStyle="1" w:styleId="86">
    <w:name w:val="正文文本 2 Char"/>
    <w:basedOn w:val="54"/>
    <w:link w:val="44"/>
    <w:semiHidden/>
    <w:qFormat/>
    <w:uiPriority w:val="99"/>
    <w:rPr>
      <w:szCs w:val="20"/>
    </w:rPr>
  </w:style>
  <w:style w:type="character" w:customStyle="1" w:styleId="87">
    <w:name w:val="HTML 预设格式 Char"/>
    <w:basedOn w:val="54"/>
    <w:link w:val="47"/>
    <w:qFormat/>
    <w:locked/>
    <w:uiPriority w:val="99"/>
    <w:rPr>
      <w:rFonts w:ascii="Courier New" w:hAnsi="Courier New"/>
      <w:kern w:val="2"/>
    </w:rPr>
  </w:style>
  <w:style w:type="character" w:customStyle="1" w:styleId="88">
    <w:name w:val="批注主题 Char"/>
    <w:basedOn w:val="76"/>
    <w:link w:val="50"/>
    <w:semiHidden/>
    <w:qFormat/>
    <w:uiPriority w:val="99"/>
    <w:rPr>
      <w:b/>
      <w:bCs/>
      <w:szCs w:val="20"/>
    </w:rPr>
  </w:style>
  <w:style w:type="character" w:customStyle="1" w:styleId="89">
    <w:name w:val="正文首行缩进 Char"/>
    <w:basedOn w:val="74"/>
    <w:link w:val="51"/>
    <w:semiHidden/>
    <w:qFormat/>
    <w:uiPriority w:val="99"/>
  </w:style>
  <w:style w:type="character" w:customStyle="1" w:styleId="90">
    <w:name w:val="正文首行缩进 2 Char"/>
    <w:basedOn w:val="77"/>
    <w:link w:val="2"/>
    <w:semiHidden/>
    <w:qFormat/>
    <w:uiPriority w:val="99"/>
    <w:rPr>
      <w:szCs w:val="20"/>
    </w:rPr>
  </w:style>
  <w:style w:type="character" w:customStyle="1" w:styleId="91">
    <w:name w:val="Style Heading 3 + Char"/>
    <w:link w:val="92"/>
    <w:qFormat/>
    <w:locked/>
    <w:uiPriority w:val="99"/>
    <w:rPr>
      <w:rFonts w:eastAsia="宋体"/>
      <w:b/>
      <w:kern w:val="2"/>
      <w:sz w:val="28"/>
      <w:lang w:val="en-US" w:eastAsia="zh-CN"/>
    </w:rPr>
  </w:style>
  <w:style w:type="paragraph" w:customStyle="1" w:styleId="92">
    <w:name w:val="Style Heading 3 +"/>
    <w:basedOn w:val="7"/>
    <w:link w:val="91"/>
    <w:qFormat/>
    <w:uiPriority w:val="99"/>
    <w:pPr>
      <w:adjustRightInd/>
      <w:spacing w:before="120" w:after="120" w:line="120" w:lineRule="atLeast"/>
      <w:textAlignment w:val="auto"/>
    </w:pPr>
    <w:rPr>
      <w:kern w:val="2"/>
      <w:sz w:val="28"/>
    </w:rPr>
  </w:style>
  <w:style w:type="character" w:customStyle="1" w:styleId="93">
    <w:name w:val="font01"/>
    <w:qFormat/>
    <w:uiPriority w:val="99"/>
    <w:rPr>
      <w:rFonts w:ascii="宋体" w:hAnsi="宋体" w:eastAsia="宋体"/>
      <w:color w:val="000000"/>
      <w:sz w:val="20"/>
      <w:u w:val="none"/>
    </w:rPr>
  </w:style>
  <w:style w:type="character" w:customStyle="1" w:styleId="94">
    <w:name w:val="hover23"/>
    <w:qFormat/>
    <w:uiPriority w:val="99"/>
    <w:rPr>
      <w:color w:val="315EFB"/>
    </w:rPr>
  </w:style>
  <w:style w:type="character" w:customStyle="1" w:styleId="95">
    <w:name w:val="style1"/>
    <w:qFormat/>
    <w:uiPriority w:val="99"/>
  </w:style>
  <w:style w:type="character" w:customStyle="1" w:styleId="96">
    <w:name w:val="正文缩进2格 Char Char"/>
    <w:link w:val="97"/>
    <w:qFormat/>
    <w:locked/>
    <w:uiPriority w:val="99"/>
    <w:rPr>
      <w:rFonts w:ascii="仿宋_GB2312" w:hAnsi="宋体" w:eastAsia="仿宋_GB2312"/>
      <w:kern w:val="2"/>
      <w:sz w:val="28"/>
    </w:rPr>
  </w:style>
  <w:style w:type="paragraph" w:customStyle="1" w:styleId="97">
    <w:name w:val="正文缩进2格"/>
    <w:basedOn w:val="1"/>
    <w:link w:val="96"/>
    <w:qFormat/>
    <w:uiPriority w:val="99"/>
    <w:pPr>
      <w:spacing w:line="600" w:lineRule="exact"/>
      <w:ind w:firstLine="639" w:firstLineChars="206"/>
    </w:pPr>
    <w:rPr>
      <w:rFonts w:ascii="仿宋_GB2312" w:hAnsi="宋体" w:eastAsia="仿宋_GB2312"/>
      <w:sz w:val="28"/>
    </w:rPr>
  </w:style>
  <w:style w:type="character" w:customStyle="1" w:styleId="98">
    <w:name w:val="hover22"/>
    <w:basedOn w:val="54"/>
    <w:qFormat/>
    <w:uiPriority w:val="99"/>
    <w:rPr>
      <w:rFonts w:cs="Times New Roman"/>
    </w:rPr>
  </w:style>
  <w:style w:type="character" w:customStyle="1" w:styleId="99">
    <w:name w:val="c-icon27"/>
    <w:basedOn w:val="54"/>
    <w:qFormat/>
    <w:uiPriority w:val="99"/>
    <w:rPr>
      <w:rFonts w:cs="Times New Roman"/>
    </w:rPr>
  </w:style>
  <w:style w:type="character" w:customStyle="1" w:styleId="100">
    <w:name w:val="c-icon28"/>
    <w:basedOn w:val="54"/>
    <w:qFormat/>
    <w:uiPriority w:val="99"/>
    <w:rPr>
      <w:rFonts w:cs="Times New Roman"/>
    </w:rPr>
  </w:style>
  <w:style w:type="character" w:customStyle="1" w:styleId="101">
    <w:name w:val="正文缩进 Char"/>
    <w:link w:val="16"/>
    <w:qFormat/>
    <w:locked/>
    <w:uiPriority w:val="99"/>
    <w:rPr>
      <w:kern w:val="2"/>
      <w:sz w:val="21"/>
    </w:rPr>
  </w:style>
  <w:style w:type="character" w:customStyle="1" w:styleId="102">
    <w:name w:val="标题 1 Char Char"/>
    <w:qFormat/>
    <w:uiPriority w:val="99"/>
    <w:rPr>
      <w:rFonts w:ascii="宋体" w:hAnsi="宋体" w:eastAsia="宋体"/>
      <w:b/>
      <w:spacing w:val="-2"/>
      <w:sz w:val="24"/>
      <w:lang w:val="en-US" w:eastAsia="zh-CN"/>
    </w:rPr>
  </w:style>
  <w:style w:type="paragraph" w:customStyle="1" w:styleId="103">
    <w:name w:val="文档正文"/>
    <w:basedOn w:val="1"/>
    <w:qFormat/>
    <w:uiPriority w:val="99"/>
    <w:pPr>
      <w:adjustRightInd w:val="0"/>
      <w:spacing w:line="480" w:lineRule="atLeast"/>
      <w:ind w:firstLine="567"/>
      <w:textAlignment w:val="baseline"/>
    </w:pPr>
    <w:rPr>
      <w:rFonts w:ascii="仿宋_GB2312" w:eastAsia="仿宋_GB2312"/>
      <w:kern w:val="0"/>
      <w:sz w:val="28"/>
    </w:rPr>
  </w:style>
  <w:style w:type="paragraph" w:customStyle="1" w:styleId="104">
    <w:name w:val="Plain Text1"/>
    <w:basedOn w:val="1"/>
    <w:qFormat/>
    <w:uiPriority w:val="99"/>
    <w:pPr>
      <w:widowControl/>
      <w:adjustRightInd w:val="0"/>
      <w:jc w:val="left"/>
      <w:textAlignment w:val="baseline"/>
    </w:pPr>
    <w:rPr>
      <w:rFonts w:ascii="宋体" w:hAnsi="Courier New" w:eastAsia="楷体_GB2312"/>
      <w:kern w:val="0"/>
      <w:sz w:val="26"/>
    </w:rPr>
  </w:style>
  <w:style w:type="paragraph" w:customStyle="1" w:styleId="105">
    <w:name w:val="样式 标题 2 + 黑色 行距: 1.5 倍行距"/>
    <w:basedOn w:val="6"/>
    <w:qFormat/>
    <w:uiPriority w:val="99"/>
    <w:pPr>
      <w:adjustRightInd/>
      <w:spacing w:line="360" w:lineRule="auto"/>
      <w:ind w:firstLine="3502" w:firstLineChars="1246"/>
      <w:textAlignment w:val="auto"/>
    </w:pPr>
    <w:rPr>
      <w:rFonts w:ascii="楷体_GB2312" w:hAnsi="宋体" w:eastAsia="楷体_GB2312" w:cs="仿宋_GB2312"/>
      <w:bCs/>
      <w:kern w:val="2"/>
      <w:sz w:val="28"/>
      <w:szCs w:val="28"/>
    </w:rPr>
  </w:style>
  <w:style w:type="paragraph" w:customStyle="1" w:styleId="106">
    <w:name w:val="Char Char Char Char"/>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07">
    <w:name w:val="图文"/>
    <w:basedOn w:val="1"/>
    <w:qFormat/>
    <w:uiPriority w:val="99"/>
    <w:pPr>
      <w:adjustRightInd w:val="0"/>
      <w:snapToGrid w:val="0"/>
      <w:spacing w:after="50" w:line="360" w:lineRule="auto"/>
    </w:pPr>
    <w:rPr>
      <w:sz w:val="24"/>
    </w:rPr>
  </w:style>
  <w:style w:type="paragraph" w:customStyle="1" w:styleId="108">
    <w:name w:val="Char Char Char1 Char"/>
    <w:basedOn w:val="1"/>
    <w:qFormat/>
    <w:uiPriority w:val="99"/>
  </w:style>
  <w:style w:type="paragraph" w:customStyle="1" w:styleId="109">
    <w:name w:val="p0"/>
    <w:basedOn w:val="1"/>
    <w:qFormat/>
    <w:uiPriority w:val="99"/>
    <w:pPr>
      <w:widowControl/>
    </w:pPr>
    <w:rPr>
      <w:kern w:val="0"/>
      <w:szCs w:val="21"/>
    </w:rPr>
  </w:style>
  <w:style w:type="paragraph" w:customStyle="1" w:styleId="110">
    <w:name w:val="_Style 2"/>
    <w:qFormat/>
    <w:uiPriority w:val="99"/>
    <w:pPr>
      <w:widowControl w:val="0"/>
      <w:jc w:val="both"/>
    </w:pPr>
    <w:rPr>
      <w:rFonts w:ascii="Times New Roman" w:hAnsi="Times New Roman" w:eastAsia="宋体" w:cs="Times New Roman"/>
      <w:kern w:val="2"/>
      <w:sz w:val="21"/>
      <w:szCs w:val="24"/>
      <w:lang w:val="en-US" w:eastAsia="zh-CN" w:bidi="ar-SA"/>
    </w:rPr>
  </w:style>
  <w:style w:type="paragraph" w:customStyle="1" w:styleId="111">
    <w:name w:val="6"/>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12">
    <w:name w:val="列出段落1"/>
    <w:basedOn w:val="1"/>
    <w:qFormat/>
    <w:uiPriority w:val="99"/>
    <w:pPr>
      <w:ind w:firstLine="420" w:firstLineChars="200"/>
    </w:pPr>
  </w:style>
  <w:style w:type="paragraph" w:customStyle="1" w:styleId="113">
    <w:name w:val="简单回函地址"/>
    <w:basedOn w:val="1"/>
    <w:qFormat/>
    <w:uiPriority w:val="99"/>
  </w:style>
  <w:style w:type="paragraph" w:customStyle="1" w:styleId="114">
    <w:name w:val="纯文本2"/>
    <w:basedOn w:val="1"/>
    <w:qFormat/>
    <w:uiPriority w:val="99"/>
    <w:rPr>
      <w:rFonts w:ascii="宋体" w:hAnsi="Courier New"/>
      <w:sz w:val="28"/>
      <w:szCs w:val="24"/>
    </w:rPr>
  </w:style>
  <w:style w:type="paragraph" w:customStyle="1" w:styleId="115">
    <w:name w:val="1"/>
    <w:basedOn w:val="1"/>
    <w:next w:val="26"/>
    <w:qFormat/>
    <w:uiPriority w:val="99"/>
    <w:rPr>
      <w:rFonts w:ascii="宋体" w:hAnsi="Courier New"/>
    </w:rPr>
  </w:style>
  <w:style w:type="paragraph" w:customStyle="1" w:styleId="116">
    <w:name w:val="Char2"/>
    <w:basedOn w:val="1"/>
    <w:qFormat/>
    <w:uiPriority w:val="99"/>
    <w:pPr>
      <w:widowControl/>
      <w:spacing w:after="160" w:line="240" w:lineRule="exact"/>
      <w:jc w:val="left"/>
    </w:pPr>
    <w:rPr>
      <w:rFonts w:ascii="Verdana" w:hAnsi="Verdana" w:eastAsia="仿宋_GB2312"/>
      <w:kern w:val="0"/>
      <w:sz w:val="24"/>
      <w:lang w:eastAsia="en-US"/>
    </w:rPr>
  </w:style>
  <w:style w:type="paragraph" w:customStyle="1" w:styleId="117">
    <w:name w:val="默认段落字体 Para Char Char Char Char"/>
    <w:basedOn w:val="1"/>
    <w:qFormat/>
    <w:uiPriority w:val="99"/>
  </w:style>
  <w:style w:type="paragraph" w:styleId="118">
    <w:name w:val="No Spacing"/>
    <w:basedOn w:val="1"/>
    <w:qFormat/>
    <w:uiPriority w:val="1"/>
    <w:rPr>
      <w:rFonts w:ascii="Calibri" w:hAnsi="Calibri"/>
      <w:kern w:val="0"/>
      <w:sz w:val="20"/>
    </w:rPr>
  </w:style>
  <w:style w:type="paragraph" w:customStyle="1" w:styleId="11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styleId="120">
    <w:name w:val="List Paragraph"/>
    <w:basedOn w:val="1"/>
    <w:qFormat/>
    <w:uiPriority w:val="34"/>
    <w:pPr>
      <w:ind w:firstLine="420" w:firstLineChars="200"/>
    </w:pPr>
    <w:rPr>
      <w:rFonts w:ascii="Calibri" w:hAnsi="Calibri" w:eastAsia="宋体" w:cs="Times New Roman"/>
      <w:szCs w:val="22"/>
    </w:rPr>
  </w:style>
  <w:style w:type="paragraph" w:customStyle="1" w:styleId="121">
    <w:name w:val="段"/>
    <w:next w:val="1"/>
    <w:qFormat/>
    <w:uiPriority w:val="0"/>
    <w:pPr>
      <w:autoSpaceDE w:val="0"/>
      <w:autoSpaceDN w:val="0"/>
      <w:ind w:firstLine="200" w:firstLineChars="200"/>
      <w:jc w:val="both"/>
    </w:pPr>
    <w:rPr>
      <w:rFonts w:ascii="宋体" w:hAnsi="Times New Roman" w:eastAsia="宋体" w:cs="Times New Roman"/>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4098"/>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yr</Company>
  <Pages>38</Pages>
  <Words>3347</Words>
  <Characters>19082</Characters>
  <Lines>159</Lines>
  <Paragraphs>44</Paragraphs>
  <TotalTime>0</TotalTime>
  <ScaleCrop>false</ScaleCrop>
  <LinksUpToDate>false</LinksUpToDate>
  <CharactersWithSpaces>22385</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2021-01-07T07:39:00Z</dcterms:created>
  <dc:creator>dreamsummit</dc:creator>
  <cp:lastModifiedBy>li</cp:lastModifiedBy>
  <cp:lastPrinted>2020-08-18T08:14:00Z</cp:lastPrinted>
  <dcterms:modified xsi:type="dcterms:W3CDTF">2021-11-04T12:41:17Z</dcterms:modified>
  <dc:title>南京国衡南通分公司 代理 招标及竞谈 书</dc:title>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76175B11FBE647498DDDE7F50B3AF888</vt:lpwstr>
  </property>
</Properties>
</file>