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s="宋体"/>
          <w:color w:val="auto"/>
          <w:w w:val="80"/>
          <w:sz w:val="24"/>
          <w:szCs w:val="24"/>
          <w:highlight w:val="none"/>
        </w:rPr>
      </w:pPr>
    </w:p>
    <w:p>
      <w:pPr>
        <w:tabs>
          <w:tab w:val="left" w:pos="6300"/>
        </w:tabs>
        <w:snapToGrid w:val="0"/>
        <w:spacing w:line="300" w:lineRule="auto"/>
        <w:jc w:val="center"/>
        <w:rPr>
          <w:rFonts w:ascii="宋体" w:cs="宋体"/>
          <w:b/>
          <w:color w:val="auto"/>
          <w:w w:val="80"/>
          <w:sz w:val="24"/>
          <w:szCs w:val="24"/>
          <w:highlight w:val="none"/>
        </w:rPr>
      </w:pPr>
    </w:p>
    <w:p>
      <w:pPr>
        <w:tabs>
          <w:tab w:val="left" w:pos="6300"/>
        </w:tabs>
        <w:snapToGrid w:val="0"/>
        <w:spacing w:line="300" w:lineRule="auto"/>
        <w:jc w:val="center"/>
        <w:rPr>
          <w:b/>
          <w:color w:val="auto"/>
          <w:sz w:val="52"/>
          <w:szCs w:val="52"/>
          <w:highlight w:val="none"/>
          <w:lang w:val="zh-CN"/>
        </w:rPr>
      </w:pPr>
    </w:p>
    <w:p>
      <w:pPr>
        <w:tabs>
          <w:tab w:val="left" w:pos="6300"/>
        </w:tabs>
        <w:snapToGrid w:val="0"/>
        <w:spacing w:line="300" w:lineRule="auto"/>
        <w:jc w:val="center"/>
        <w:rPr>
          <w:b/>
          <w:color w:val="auto"/>
          <w:sz w:val="52"/>
          <w:szCs w:val="52"/>
          <w:highlight w:val="none"/>
          <w:lang w:val="zh-CN"/>
        </w:rPr>
      </w:pPr>
      <w:bookmarkStart w:id="74" w:name="_GoBack"/>
      <w:r>
        <w:rPr>
          <w:rFonts w:hint="eastAsia"/>
          <w:b/>
          <w:color w:val="auto"/>
          <w:sz w:val="52"/>
          <w:szCs w:val="52"/>
          <w:highlight w:val="none"/>
          <w:lang w:val="zh-CN"/>
        </w:rPr>
        <w:t>南通市第三人民医院信息系统网络安全等级保护测评服务项目</w:t>
      </w:r>
      <w:bookmarkEnd w:id="74"/>
    </w:p>
    <w:p>
      <w:pPr>
        <w:tabs>
          <w:tab w:val="left" w:pos="6300"/>
        </w:tabs>
        <w:snapToGrid w:val="0"/>
        <w:spacing w:line="300" w:lineRule="auto"/>
        <w:jc w:val="center"/>
        <w:rPr>
          <w:rFonts w:ascii="宋体" w:cs="宋体"/>
          <w:b/>
          <w:color w:val="auto"/>
          <w:w w:val="80"/>
          <w:sz w:val="44"/>
          <w:szCs w:val="44"/>
          <w:highlight w:val="none"/>
        </w:rPr>
      </w:pPr>
    </w:p>
    <w:p>
      <w:pPr>
        <w:pStyle w:val="2"/>
        <w:ind w:firstLine="712"/>
        <w:rPr>
          <w:rFonts w:ascii="宋体" w:cs="宋体"/>
          <w:b/>
          <w:color w:val="auto"/>
          <w:w w:val="80"/>
          <w:sz w:val="44"/>
          <w:szCs w:val="44"/>
          <w:highlight w:val="none"/>
        </w:rPr>
      </w:pPr>
    </w:p>
    <w:p>
      <w:pPr>
        <w:tabs>
          <w:tab w:val="left" w:pos="6300"/>
        </w:tabs>
        <w:snapToGrid w:val="0"/>
        <w:spacing w:line="300" w:lineRule="auto"/>
        <w:jc w:val="center"/>
        <w:rPr>
          <w:rFonts w:ascii="宋体" w:cs="宋体"/>
          <w:b/>
          <w:color w:val="auto"/>
          <w:w w:val="80"/>
          <w:sz w:val="96"/>
          <w:szCs w:val="96"/>
          <w:highlight w:val="none"/>
        </w:rPr>
      </w:pPr>
      <w:r>
        <w:rPr>
          <w:rFonts w:hint="eastAsia" w:ascii="宋体" w:hAnsi="宋体" w:cs="宋体"/>
          <w:b/>
          <w:color w:val="auto"/>
          <w:w w:val="80"/>
          <w:sz w:val="84"/>
          <w:szCs w:val="84"/>
          <w:highlight w:val="none"/>
        </w:rPr>
        <w:t>竞争性磋商文件</w:t>
      </w:r>
    </w:p>
    <w:p>
      <w:pPr>
        <w:jc w:val="center"/>
        <w:rPr>
          <w:rFonts w:ascii="宋体" w:cs="宋体"/>
          <w:b/>
          <w:color w:val="auto"/>
          <w:sz w:val="24"/>
          <w:szCs w:val="24"/>
          <w:highlight w:val="none"/>
        </w:rPr>
      </w:pPr>
    </w:p>
    <w:p>
      <w:pPr>
        <w:snapToGrid w:val="0"/>
        <w:spacing w:line="640" w:lineRule="exact"/>
        <w:rPr>
          <w:rFonts w:ascii="宋体"/>
          <w:b/>
          <w:bCs/>
          <w:color w:val="auto"/>
          <w:sz w:val="24"/>
          <w:szCs w:val="24"/>
          <w:highlight w:val="none"/>
        </w:rPr>
      </w:pPr>
    </w:p>
    <w:p>
      <w:pPr>
        <w:snapToGrid w:val="0"/>
        <w:spacing w:line="640" w:lineRule="exact"/>
        <w:jc w:val="center"/>
        <w:rPr>
          <w:rFonts w:ascii="宋体" w:cs="宋体"/>
          <w:b/>
          <w:color w:val="auto"/>
          <w:sz w:val="24"/>
          <w:szCs w:val="24"/>
          <w:highlight w:val="none"/>
        </w:rPr>
      </w:pPr>
    </w:p>
    <w:p>
      <w:pPr>
        <w:pStyle w:val="2"/>
        <w:ind w:firstLine="482"/>
        <w:rPr>
          <w:rFonts w:ascii="宋体" w:cs="宋体"/>
          <w:b/>
          <w:color w:val="auto"/>
          <w:szCs w:val="24"/>
          <w:highlight w:val="none"/>
        </w:rPr>
      </w:pPr>
    </w:p>
    <w:p>
      <w:pPr>
        <w:pStyle w:val="2"/>
        <w:ind w:firstLine="482"/>
        <w:rPr>
          <w:rFonts w:ascii="宋体" w:cs="宋体"/>
          <w:b/>
          <w:color w:val="auto"/>
          <w:szCs w:val="24"/>
          <w:highlight w:val="none"/>
        </w:rPr>
      </w:pPr>
    </w:p>
    <w:p>
      <w:pPr>
        <w:snapToGrid w:val="0"/>
        <w:spacing w:line="360" w:lineRule="auto"/>
        <w:rPr>
          <w:rFonts w:ascii="宋体" w:cs="宋体"/>
          <w:b/>
          <w:color w:val="auto"/>
          <w:sz w:val="24"/>
          <w:szCs w:val="24"/>
          <w:highlight w:val="none"/>
        </w:rPr>
      </w:pPr>
    </w:p>
    <w:p>
      <w:pPr>
        <w:adjustRightInd w:val="0"/>
        <w:snapToGrid w:val="0"/>
        <w:spacing w:line="360" w:lineRule="auto"/>
        <w:jc w:val="center"/>
        <w:rPr>
          <w:rFonts w:ascii="宋体" w:cs="宋体"/>
          <w:b/>
          <w:color w:val="auto"/>
          <w:sz w:val="30"/>
          <w:szCs w:val="30"/>
          <w:highlight w:val="none"/>
        </w:rPr>
      </w:pPr>
    </w:p>
    <w:p>
      <w:pPr>
        <w:adjustRightInd w:val="0"/>
        <w:snapToGrid w:val="0"/>
        <w:spacing w:line="360" w:lineRule="auto"/>
        <w:jc w:val="left"/>
        <w:rPr>
          <w:rFonts w:ascii="宋体" w:cs="宋体"/>
          <w:b/>
          <w:color w:val="auto"/>
          <w:sz w:val="30"/>
          <w:szCs w:val="30"/>
          <w:highlight w:val="none"/>
        </w:rPr>
      </w:pPr>
      <w:bookmarkStart w:id="0" w:name="_Toc12670502"/>
      <w:bookmarkStart w:id="1" w:name="_Toc8895738"/>
      <w:bookmarkStart w:id="2" w:name="_Toc521201596"/>
      <w:bookmarkStart w:id="3" w:name="_Toc11554638"/>
      <w:bookmarkStart w:id="4" w:name="_Toc11500279"/>
      <w:bookmarkStart w:id="5" w:name="_Toc94544827"/>
      <w:bookmarkStart w:id="6" w:name="_Toc521203417"/>
      <w:bookmarkStart w:id="7" w:name="_Toc94585339"/>
      <w:bookmarkStart w:id="8" w:name="_Toc94544743"/>
      <w:bookmarkStart w:id="9" w:name="_Toc11499583"/>
    </w:p>
    <w:p>
      <w:pPr>
        <w:adjustRightInd w:val="0"/>
        <w:snapToGrid w:val="0"/>
        <w:spacing w:line="360" w:lineRule="auto"/>
        <w:jc w:val="left"/>
        <w:rPr>
          <w:rFonts w:ascii="宋体" w:cs="宋体"/>
          <w:b/>
          <w:color w:val="auto"/>
          <w:sz w:val="30"/>
          <w:szCs w:val="30"/>
          <w:highlight w:val="none"/>
        </w:rPr>
      </w:pPr>
    </w:p>
    <w:p>
      <w:pPr>
        <w:adjustRightInd w:val="0"/>
        <w:snapToGrid w:val="0"/>
        <w:spacing w:line="360" w:lineRule="auto"/>
        <w:jc w:val="center"/>
        <w:rPr>
          <w:rFonts w:hint="eastAsia" w:ascii="宋体" w:eastAsia="宋体" w:cs="宋体"/>
          <w:b/>
          <w:color w:val="auto"/>
          <w:sz w:val="30"/>
          <w:szCs w:val="30"/>
          <w:highlight w:val="none"/>
          <w:lang w:eastAsia="zh-CN"/>
        </w:rPr>
      </w:pPr>
      <w:r>
        <w:rPr>
          <w:rFonts w:hint="eastAsia" w:ascii="宋体" w:hAnsi="宋体" w:cs="宋体"/>
          <w:b/>
          <w:color w:val="auto"/>
          <w:sz w:val="30"/>
          <w:szCs w:val="30"/>
          <w:highlight w:val="none"/>
        </w:rPr>
        <w:t>采购单位：</w:t>
      </w:r>
      <w:r>
        <w:rPr>
          <w:rFonts w:hint="eastAsia" w:ascii="宋体" w:hAnsi="宋体" w:cs="宋体"/>
          <w:b/>
          <w:color w:val="auto"/>
          <w:sz w:val="30"/>
          <w:szCs w:val="30"/>
          <w:highlight w:val="none"/>
          <w:lang w:eastAsia="zh-CN"/>
        </w:rPr>
        <w:t>南通市第三人民医院</w:t>
      </w:r>
    </w:p>
    <w:p>
      <w:pPr>
        <w:adjustRightInd w:val="0"/>
        <w:snapToGrid w:val="0"/>
        <w:spacing w:line="360" w:lineRule="auto"/>
        <w:jc w:val="center"/>
        <w:rPr>
          <w:rFonts w:ascii="宋体" w:cs="宋体"/>
          <w:b/>
          <w:color w:val="auto"/>
          <w:sz w:val="30"/>
          <w:szCs w:val="30"/>
          <w:highlight w:val="none"/>
        </w:rPr>
      </w:pPr>
      <w:r>
        <w:rPr>
          <w:rFonts w:hint="eastAsia" w:ascii="宋体" w:hAnsi="宋体" w:cs="宋体"/>
          <w:b/>
          <w:color w:val="auto"/>
          <w:sz w:val="30"/>
          <w:szCs w:val="30"/>
          <w:highlight w:val="none"/>
        </w:rPr>
        <w:t>代理机构：江苏正扬招标代理有限公司</w:t>
      </w:r>
    </w:p>
    <w:p>
      <w:pPr>
        <w:adjustRightInd w:val="0"/>
        <w:snapToGrid w:val="0"/>
        <w:spacing w:line="360" w:lineRule="auto"/>
        <w:jc w:val="center"/>
        <w:rPr>
          <w:rFonts w:ascii="宋体" w:cs="宋体"/>
          <w:b/>
          <w:color w:val="auto"/>
          <w:sz w:val="30"/>
          <w:szCs w:val="30"/>
          <w:highlight w:val="none"/>
        </w:rPr>
      </w:pPr>
      <w:r>
        <w:rPr>
          <w:rFonts w:hint="eastAsia" w:ascii="宋体" w:hAnsi="宋体" w:cs="宋体"/>
          <w:b/>
          <w:color w:val="auto"/>
          <w:sz w:val="30"/>
          <w:szCs w:val="30"/>
          <w:highlight w:val="none"/>
        </w:rPr>
        <w:t>二〇二一年</w:t>
      </w:r>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rPr>
        <w:t>日</w:t>
      </w:r>
    </w:p>
    <w:p>
      <w:pPr>
        <w:adjustRightInd w:val="0"/>
        <w:snapToGrid w:val="0"/>
        <w:spacing w:line="360" w:lineRule="auto"/>
        <w:jc w:val="center"/>
        <w:rPr>
          <w:rFonts w:ascii="宋体" w:cs="宋体"/>
          <w:b/>
          <w:color w:val="auto"/>
          <w:sz w:val="30"/>
          <w:szCs w:val="30"/>
          <w:highlight w:val="none"/>
        </w:rPr>
        <w:sectPr>
          <w:footerReference r:id="rId7" w:type="first"/>
          <w:headerReference r:id="rId3" w:type="default"/>
          <w:footerReference r:id="rId5" w:type="default"/>
          <w:headerReference r:id="rId4" w:type="even"/>
          <w:footerReference r:id="rId6" w:type="even"/>
          <w:type w:val="continuous"/>
          <w:pgSz w:w="11906" w:h="16838"/>
          <w:pgMar w:top="1247" w:right="1113" w:bottom="1134" w:left="1255" w:header="851" w:footer="992" w:gutter="0"/>
          <w:pgNumType w:fmt="numberInDash" w:start="1"/>
          <w:cols w:space="720" w:num="1"/>
          <w:titlePg/>
          <w:docGrid w:linePitch="380" w:charSpace="-5735"/>
        </w:sectPr>
      </w:pPr>
    </w:p>
    <w:p>
      <w:pPr>
        <w:jc w:val="center"/>
        <w:rPr>
          <w:rFonts w:ascii="宋体" w:cs="宋体"/>
          <w:b/>
          <w:color w:val="auto"/>
          <w:sz w:val="24"/>
          <w:szCs w:val="24"/>
          <w:highlight w:val="none"/>
        </w:rPr>
      </w:pPr>
    </w:p>
    <w:p>
      <w:pPr>
        <w:pStyle w:val="2"/>
        <w:ind w:firstLine="482"/>
        <w:rPr>
          <w:rFonts w:ascii="宋体" w:cs="宋体"/>
          <w:b/>
          <w:color w:val="auto"/>
          <w:szCs w:val="24"/>
          <w:highlight w:val="none"/>
        </w:rPr>
      </w:pPr>
    </w:p>
    <w:p>
      <w:pPr>
        <w:jc w:val="center"/>
        <w:rPr>
          <w:rFonts w:ascii="宋体" w:cs="宋体"/>
          <w:b/>
          <w:color w:val="auto"/>
          <w:sz w:val="44"/>
          <w:szCs w:val="44"/>
          <w:highlight w:val="none"/>
        </w:rPr>
      </w:pPr>
      <w:r>
        <w:rPr>
          <w:rFonts w:ascii="宋体" w:cs="宋体"/>
          <w:b/>
          <w:color w:val="auto"/>
          <w:sz w:val="44"/>
          <w:szCs w:val="44"/>
          <w:highlight w:val="none"/>
        </w:rPr>
        <w:br w:type="page"/>
      </w:r>
      <w:r>
        <w:rPr>
          <w:rFonts w:hint="eastAsia" w:ascii="宋体" w:hAnsi="宋体" w:cs="宋体"/>
          <w:b/>
          <w:color w:val="auto"/>
          <w:sz w:val="44"/>
          <w:szCs w:val="44"/>
          <w:highlight w:val="none"/>
        </w:rPr>
        <w:t>竞争性磋商文件备案表</w:t>
      </w:r>
    </w:p>
    <w:p>
      <w:pPr>
        <w:jc w:val="center"/>
        <w:rPr>
          <w:rFonts w:ascii="宋体" w:cs="宋体"/>
          <w:b/>
          <w:color w:val="auto"/>
          <w:sz w:val="24"/>
          <w:szCs w:val="24"/>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1" w:hRule="atLeast"/>
          <w:jc w:val="center"/>
        </w:trPr>
        <w:tc>
          <w:tcPr>
            <w:tcW w:w="9180" w:type="dxa"/>
            <w:vAlign w:val="center"/>
          </w:tcPr>
          <w:p>
            <w:pPr>
              <w:spacing w:line="360" w:lineRule="auto"/>
              <w:jc w:val="center"/>
              <w:rPr>
                <w:rFonts w:ascii="宋体" w:cs="宋体"/>
                <w:color w:val="auto"/>
                <w:position w:val="-48"/>
                <w:sz w:val="24"/>
                <w:szCs w:val="24"/>
                <w:highlight w:val="none"/>
              </w:rPr>
            </w:pPr>
            <w:r>
              <w:rPr>
                <w:rFonts w:hint="eastAsia" w:ascii="宋体" w:hAnsi="宋体" w:cs="宋体"/>
                <w:color w:val="auto"/>
                <w:position w:val="-48"/>
                <w:sz w:val="24"/>
                <w:szCs w:val="24"/>
                <w:highlight w:val="none"/>
              </w:rPr>
              <w:t>编制人：李艳梅</w:t>
            </w:r>
          </w:p>
          <w:p>
            <w:pPr>
              <w:tabs>
                <w:tab w:val="left" w:pos="3492"/>
              </w:tabs>
              <w:spacing w:line="360" w:lineRule="auto"/>
              <w:jc w:val="center"/>
              <w:rPr>
                <w:rFonts w:ascii="宋体" w:cs="宋体"/>
                <w:color w:val="auto"/>
                <w:position w:val="-48"/>
                <w:sz w:val="24"/>
                <w:szCs w:val="24"/>
                <w:highlight w:val="none"/>
              </w:rPr>
            </w:pPr>
            <w:r>
              <w:rPr>
                <w:rFonts w:hint="eastAsia" w:ascii="宋体" w:hAnsi="宋体" w:cs="宋体"/>
                <w:color w:val="auto"/>
                <w:position w:val="-48"/>
                <w:sz w:val="24"/>
                <w:szCs w:val="24"/>
                <w:highlight w:val="none"/>
              </w:rPr>
              <w:t>日</w:t>
            </w:r>
            <w:r>
              <w:rPr>
                <w:rFonts w:ascii="宋体" w:hAnsi="宋体" w:cs="宋体"/>
                <w:color w:val="auto"/>
                <w:position w:val="-48"/>
                <w:sz w:val="24"/>
                <w:szCs w:val="24"/>
                <w:highlight w:val="none"/>
              </w:rPr>
              <w:t xml:space="preserve">  </w:t>
            </w:r>
            <w:r>
              <w:rPr>
                <w:rFonts w:hint="eastAsia" w:ascii="宋体" w:hAnsi="宋体" w:cs="宋体"/>
                <w:color w:val="auto"/>
                <w:position w:val="-48"/>
                <w:sz w:val="24"/>
                <w:szCs w:val="24"/>
                <w:highlight w:val="none"/>
              </w:rPr>
              <w:t>期：</w:t>
            </w:r>
            <w:r>
              <w:rPr>
                <w:rFonts w:ascii="宋体" w:hAnsi="宋体" w:cs="宋体"/>
                <w:color w:val="auto"/>
                <w:position w:val="-48"/>
                <w:sz w:val="24"/>
                <w:szCs w:val="24"/>
                <w:highlight w:val="none"/>
              </w:rPr>
              <w:t>2021</w:t>
            </w:r>
            <w:r>
              <w:rPr>
                <w:rFonts w:hint="eastAsia" w:ascii="宋体" w:hAnsi="宋体" w:cs="宋体"/>
                <w:color w:val="auto"/>
                <w:position w:val="-48"/>
                <w:sz w:val="24"/>
                <w:szCs w:val="24"/>
                <w:highlight w:val="none"/>
              </w:rPr>
              <w:t>年</w:t>
            </w:r>
            <w:r>
              <w:rPr>
                <w:rFonts w:hint="eastAsia" w:ascii="宋体" w:hAnsi="宋体" w:cs="宋体"/>
                <w:color w:val="auto"/>
                <w:position w:val="-48"/>
                <w:sz w:val="24"/>
                <w:szCs w:val="24"/>
                <w:highlight w:val="none"/>
                <w:lang w:val="en-US" w:eastAsia="zh-CN"/>
              </w:rPr>
              <w:t>11</w:t>
            </w:r>
            <w:r>
              <w:rPr>
                <w:rFonts w:hint="eastAsia" w:ascii="宋体" w:hAnsi="宋体" w:cs="宋体"/>
                <w:color w:val="auto"/>
                <w:position w:val="-48"/>
                <w:sz w:val="24"/>
                <w:szCs w:val="24"/>
                <w:highlight w:val="none"/>
              </w:rPr>
              <w:t>月</w:t>
            </w:r>
            <w:r>
              <w:rPr>
                <w:rFonts w:hint="eastAsia" w:ascii="宋体" w:hAnsi="宋体" w:cs="宋体"/>
                <w:color w:val="auto"/>
                <w:position w:val="-48"/>
                <w:sz w:val="24"/>
                <w:szCs w:val="24"/>
                <w:highlight w:val="none"/>
                <w:lang w:val="en-US" w:eastAsia="zh-CN"/>
              </w:rPr>
              <w:t>3</w:t>
            </w:r>
            <w:r>
              <w:rPr>
                <w:rFonts w:hint="eastAsia" w:ascii="宋体" w:hAnsi="宋体" w:cs="宋体"/>
                <w:color w:val="auto"/>
                <w:position w:val="-48"/>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7" w:hRule="atLeast"/>
          <w:jc w:val="center"/>
        </w:trPr>
        <w:tc>
          <w:tcPr>
            <w:tcW w:w="9180" w:type="dxa"/>
          </w:tcPr>
          <w:p>
            <w:pPr>
              <w:spacing w:line="360" w:lineRule="auto"/>
              <w:rPr>
                <w:rFonts w:ascii="宋体" w:cs="宋体"/>
                <w:color w:val="auto"/>
                <w:position w:val="-48"/>
                <w:sz w:val="24"/>
                <w:szCs w:val="24"/>
                <w:highlight w:val="none"/>
              </w:rPr>
            </w:pPr>
          </w:p>
          <w:p>
            <w:pPr>
              <w:spacing w:line="360" w:lineRule="auto"/>
              <w:ind w:firstLine="600" w:firstLineChars="250"/>
              <w:jc w:val="center"/>
              <w:rPr>
                <w:rFonts w:ascii="宋体" w:hAnsi="宋体" w:cs="宋体"/>
                <w:color w:val="auto"/>
                <w:position w:val="-48"/>
                <w:sz w:val="24"/>
                <w:szCs w:val="24"/>
                <w:highlight w:val="none"/>
              </w:rPr>
            </w:pPr>
          </w:p>
          <w:p>
            <w:pPr>
              <w:spacing w:line="360" w:lineRule="auto"/>
              <w:ind w:firstLine="600" w:firstLineChars="250"/>
              <w:jc w:val="center"/>
              <w:rPr>
                <w:rFonts w:ascii="宋体" w:cs="宋体"/>
                <w:color w:val="auto"/>
                <w:position w:val="-48"/>
                <w:sz w:val="24"/>
                <w:szCs w:val="24"/>
                <w:highlight w:val="none"/>
              </w:rPr>
            </w:pPr>
            <w:r>
              <w:rPr>
                <w:rFonts w:hint="eastAsia" w:ascii="宋体" w:hAnsi="宋体" w:cs="宋体"/>
                <w:color w:val="auto"/>
                <w:position w:val="-48"/>
                <w:sz w:val="24"/>
                <w:szCs w:val="24"/>
                <w:highlight w:val="none"/>
              </w:rPr>
              <w:t>采购单位（盖章）</w:t>
            </w:r>
            <w:r>
              <w:rPr>
                <w:rFonts w:ascii="宋体" w:hAnsi="宋体" w:cs="宋体"/>
                <w:color w:val="auto"/>
                <w:position w:val="-48"/>
                <w:sz w:val="24"/>
                <w:szCs w:val="24"/>
                <w:highlight w:val="none"/>
              </w:rPr>
              <w:t xml:space="preserve">             </w:t>
            </w:r>
          </w:p>
          <w:p>
            <w:pPr>
              <w:spacing w:line="360" w:lineRule="auto"/>
              <w:rPr>
                <w:rFonts w:ascii="宋体" w:cs="宋体"/>
                <w:color w:val="auto"/>
                <w:position w:val="-48"/>
                <w:sz w:val="24"/>
                <w:szCs w:val="24"/>
                <w:highlight w:val="none"/>
              </w:rPr>
            </w:pPr>
          </w:p>
          <w:p>
            <w:pPr>
              <w:spacing w:line="360" w:lineRule="auto"/>
              <w:jc w:val="center"/>
              <w:rPr>
                <w:rFonts w:ascii="宋体" w:cs="宋体"/>
                <w:color w:val="auto"/>
                <w:position w:val="-48"/>
                <w:sz w:val="24"/>
                <w:szCs w:val="24"/>
                <w:highlight w:val="none"/>
              </w:rPr>
            </w:pPr>
            <w:r>
              <w:rPr>
                <w:rFonts w:ascii="宋体" w:hAnsi="宋体" w:cs="宋体"/>
                <w:color w:val="auto"/>
                <w:position w:val="-48"/>
                <w:sz w:val="24"/>
                <w:szCs w:val="24"/>
                <w:highlight w:val="none"/>
              </w:rPr>
              <w:t xml:space="preserve">   </w:t>
            </w:r>
            <w:r>
              <w:rPr>
                <w:rFonts w:hint="eastAsia" w:ascii="宋体" w:hAnsi="宋体" w:cs="宋体"/>
                <w:color w:val="auto"/>
                <w:position w:val="-48"/>
                <w:sz w:val="24"/>
                <w:szCs w:val="24"/>
                <w:highlight w:val="none"/>
              </w:rPr>
              <w:t>代理机构（盖章）</w:t>
            </w:r>
            <w:r>
              <w:rPr>
                <w:rFonts w:ascii="宋体" w:hAnsi="宋体" w:cs="宋体"/>
                <w:color w:val="auto"/>
                <w:position w:val="-48"/>
                <w:sz w:val="24"/>
                <w:szCs w:val="24"/>
                <w:highlight w:val="none"/>
              </w:rPr>
              <w:t xml:space="preserve">            </w:t>
            </w:r>
          </w:p>
          <w:p>
            <w:pPr>
              <w:spacing w:line="360" w:lineRule="auto"/>
              <w:rPr>
                <w:rFonts w:ascii="宋体" w:cs="宋体"/>
                <w:color w:val="auto"/>
                <w:position w:val="-48"/>
                <w:sz w:val="24"/>
                <w:szCs w:val="24"/>
                <w:highlight w:val="none"/>
              </w:rPr>
            </w:pPr>
          </w:p>
          <w:p>
            <w:pPr>
              <w:spacing w:line="360" w:lineRule="auto"/>
              <w:jc w:val="center"/>
              <w:rPr>
                <w:rFonts w:ascii="宋体" w:cs="宋体"/>
                <w:color w:val="auto"/>
                <w:position w:val="-48"/>
                <w:sz w:val="24"/>
                <w:szCs w:val="24"/>
                <w:highlight w:val="none"/>
              </w:rPr>
            </w:pPr>
            <w:r>
              <w:rPr>
                <w:rFonts w:hint="eastAsia" w:ascii="宋体" w:hAnsi="宋体" w:cs="宋体"/>
                <w:color w:val="auto"/>
                <w:position w:val="-48"/>
                <w:sz w:val="24"/>
                <w:szCs w:val="24"/>
                <w:highlight w:val="none"/>
              </w:rPr>
              <w:t>日</w:t>
            </w:r>
            <w:r>
              <w:rPr>
                <w:rFonts w:ascii="宋体" w:hAnsi="宋体" w:cs="宋体"/>
                <w:color w:val="auto"/>
                <w:position w:val="-48"/>
                <w:sz w:val="24"/>
                <w:szCs w:val="24"/>
                <w:highlight w:val="none"/>
              </w:rPr>
              <w:t xml:space="preserve">  </w:t>
            </w:r>
            <w:r>
              <w:rPr>
                <w:rFonts w:hint="eastAsia" w:ascii="宋体" w:hAnsi="宋体" w:cs="宋体"/>
                <w:color w:val="auto"/>
                <w:position w:val="-48"/>
                <w:sz w:val="24"/>
                <w:szCs w:val="24"/>
                <w:highlight w:val="none"/>
              </w:rPr>
              <w:t>期：</w:t>
            </w:r>
            <w:r>
              <w:rPr>
                <w:rFonts w:ascii="宋体" w:hAnsi="宋体" w:cs="宋体"/>
                <w:color w:val="auto"/>
                <w:position w:val="-48"/>
                <w:sz w:val="24"/>
                <w:szCs w:val="24"/>
                <w:highlight w:val="none"/>
              </w:rPr>
              <w:t>2021</w:t>
            </w:r>
            <w:r>
              <w:rPr>
                <w:rFonts w:hint="eastAsia" w:ascii="宋体" w:hAnsi="宋体" w:cs="宋体"/>
                <w:color w:val="auto"/>
                <w:position w:val="-48"/>
                <w:sz w:val="24"/>
                <w:szCs w:val="24"/>
                <w:highlight w:val="none"/>
              </w:rPr>
              <w:t>年</w:t>
            </w:r>
            <w:r>
              <w:rPr>
                <w:rFonts w:hint="eastAsia" w:ascii="宋体" w:hAnsi="宋体" w:cs="宋体"/>
                <w:color w:val="auto"/>
                <w:position w:val="-48"/>
                <w:sz w:val="24"/>
                <w:szCs w:val="24"/>
                <w:highlight w:val="none"/>
                <w:lang w:val="en-US" w:eastAsia="zh-CN"/>
              </w:rPr>
              <w:t>11</w:t>
            </w:r>
            <w:r>
              <w:rPr>
                <w:rFonts w:hint="eastAsia" w:ascii="宋体" w:hAnsi="宋体" w:cs="宋体"/>
                <w:color w:val="auto"/>
                <w:position w:val="-48"/>
                <w:sz w:val="24"/>
                <w:szCs w:val="24"/>
                <w:highlight w:val="none"/>
              </w:rPr>
              <w:t>月</w:t>
            </w:r>
            <w:r>
              <w:rPr>
                <w:rFonts w:hint="eastAsia" w:ascii="宋体" w:hAnsi="宋体" w:cs="宋体"/>
                <w:color w:val="auto"/>
                <w:position w:val="-48"/>
                <w:sz w:val="24"/>
                <w:szCs w:val="24"/>
                <w:highlight w:val="none"/>
                <w:lang w:val="en-US" w:eastAsia="zh-CN"/>
              </w:rPr>
              <w:t>3</w:t>
            </w:r>
            <w:r>
              <w:rPr>
                <w:rFonts w:hint="eastAsia" w:ascii="宋体" w:hAnsi="宋体" w:cs="宋体"/>
                <w:color w:val="auto"/>
                <w:position w:val="-48"/>
                <w:sz w:val="24"/>
                <w:szCs w:val="24"/>
                <w:highlight w:val="none"/>
              </w:rPr>
              <w:t>日</w:t>
            </w:r>
          </w:p>
        </w:tc>
      </w:tr>
    </w:tbl>
    <w:p>
      <w:pPr>
        <w:adjustRightInd w:val="0"/>
        <w:snapToGrid w:val="0"/>
        <w:spacing w:line="360" w:lineRule="auto"/>
        <w:jc w:val="center"/>
        <w:rPr>
          <w:rFonts w:ascii="宋体" w:cs="宋体"/>
          <w:color w:val="auto"/>
          <w:w w:val="80"/>
          <w:sz w:val="24"/>
          <w:szCs w:val="24"/>
          <w:highlight w:val="none"/>
        </w:rPr>
      </w:pPr>
    </w:p>
    <w:p>
      <w:pPr>
        <w:pStyle w:val="25"/>
        <w:tabs>
          <w:tab w:val="left" w:pos="1050"/>
          <w:tab w:val="right" w:leader="dot" w:pos="9402"/>
        </w:tabs>
        <w:spacing w:line="960" w:lineRule="exact"/>
        <w:ind w:left="0"/>
        <w:jc w:val="center"/>
        <w:outlineLvl w:val="0"/>
        <w:rPr>
          <w:rFonts w:ascii="宋体" w:cs="宋体"/>
          <w:b/>
          <w:i w:val="0"/>
          <w:color w:val="auto"/>
          <w:w w:val="80"/>
          <w:sz w:val="52"/>
          <w:szCs w:val="52"/>
          <w:highlight w:val="none"/>
        </w:rPr>
      </w:pPr>
      <w:r>
        <w:rPr>
          <w:rFonts w:ascii="宋体" w:cs="宋体"/>
          <w:b/>
          <w:i w:val="0"/>
          <w:color w:val="auto"/>
          <w:w w:val="80"/>
          <w:sz w:val="24"/>
          <w:szCs w:val="24"/>
          <w:highlight w:val="none"/>
        </w:rPr>
        <w:br w:type="page"/>
      </w:r>
      <w:r>
        <w:rPr>
          <w:rFonts w:hint="eastAsia" w:ascii="宋体" w:cs="宋体"/>
          <w:b/>
          <w:i w:val="0"/>
          <w:color w:val="auto"/>
          <w:w w:val="80"/>
          <w:sz w:val="52"/>
          <w:szCs w:val="52"/>
          <w:highlight w:val="none"/>
        </w:rPr>
        <w:t>目</w:t>
      </w:r>
      <w:r>
        <w:rPr>
          <w:rFonts w:ascii="宋体" w:cs="宋体"/>
          <w:b/>
          <w:i w:val="0"/>
          <w:color w:val="auto"/>
          <w:w w:val="80"/>
          <w:sz w:val="52"/>
          <w:szCs w:val="52"/>
          <w:highlight w:val="none"/>
        </w:rPr>
        <w:t xml:space="preserve">   </w:t>
      </w:r>
      <w:r>
        <w:rPr>
          <w:rFonts w:hint="eastAsia" w:ascii="宋体" w:cs="宋体"/>
          <w:b/>
          <w:i w:val="0"/>
          <w:color w:val="auto"/>
          <w:w w:val="80"/>
          <w:sz w:val="52"/>
          <w:szCs w:val="52"/>
          <w:highlight w:val="none"/>
        </w:rPr>
        <w:t>录</w:t>
      </w:r>
    </w:p>
    <w:p>
      <w:pPr>
        <w:spacing w:line="800" w:lineRule="exact"/>
        <w:jc w:val="center"/>
        <w:rPr>
          <w:rFonts w:ascii="宋体" w:cs="宋体"/>
          <w:b/>
          <w:color w:val="auto"/>
          <w:sz w:val="24"/>
          <w:szCs w:val="24"/>
          <w:highlight w:val="none"/>
        </w:rPr>
      </w:pPr>
    </w:p>
    <w:p>
      <w:pPr>
        <w:pStyle w:val="25"/>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第一章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竞争性磋商公告</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第二章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磋商供应商须知</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第三章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项目需求</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numPr>
          <w:ilvl w:val="0"/>
          <w:numId w:val="1"/>
        </w:numPr>
        <w:tabs>
          <w:tab w:val="left" w:pos="1050"/>
          <w:tab w:val="right" w:leader="dot" w:pos="9402"/>
        </w:tabs>
        <w:spacing w:line="520" w:lineRule="exact"/>
        <w:ind w:left="0"/>
        <w:rPr>
          <w:rFonts w:ascii="宋体" w:cs="宋体"/>
          <w:i w:val="0"/>
          <w:color w:val="auto"/>
          <w:w w:val="80"/>
          <w:sz w:val="36"/>
          <w:szCs w:val="36"/>
          <w:highlight w:val="none"/>
        </w:rPr>
      </w:pP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评审方法和程序</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numPr>
          <w:ilvl w:val="0"/>
          <w:numId w:val="1"/>
        </w:numPr>
        <w:tabs>
          <w:tab w:val="left" w:pos="1050"/>
          <w:tab w:val="right" w:leader="dot" w:pos="9402"/>
        </w:tabs>
        <w:spacing w:line="520" w:lineRule="exact"/>
        <w:ind w:left="0"/>
        <w:rPr>
          <w:rFonts w:ascii="宋体" w:cs="宋体"/>
          <w:i w:val="0"/>
          <w:color w:val="auto"/>
          <w:w w:val="80"/>
          <w:sz w:val="36"/>
          <w:szCs w:val="36"/>
          <w:highlight w:val="none"/>
        </w:rPr>
      </w:pP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合同授予</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numPr>
          <w:ilvl w:val="0"/>
          <w:numId w:val="1"/>
        </w:numPr>
        <w:tabs>
          <w:tab w:val="left" w:pos="1050"/>
          <w:tab w:val="right" w:leader="dot" w:pos="9402"/>
        </w:tabs>
        <w:spacing w:line="520" w:lineRule="exact"/>
        <w:ind w:left="0"/>
        <w:rPr>
          <w:rFonts w:ascii="宋体" w:cs="宋体"/>
          <w:i w:val="0"/>
          <w:color w:val="auto"/>
          <w:w w:val="80"/>
          <w:sz w:val="36"/>
          <w:szCs w:val="36"/>
          <w:highlight w:val="none"/>
        </w:rPr>
      </w:pP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质疑提出和处理</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numPr>
          <w:ilvl w:val="0"/>
          <w:numId w:val="1"/>
        </w:numPr>
        <w:tabs>
          <w:tab w:val="left" w:pos="1050"/>
          <w:tab w:val="right" w:leader="dot" w:pos="9402"/>
        </w:tabs>
        <w:spacing w:line="520" w:lineRule="exact"/>
        <w:ind w:left="0"/>
        <w:rPr>
          <w:rFonts w:ascii="宋体" w:cs="宋体"/>
          <w:i w:val="0"/>
          <w:color w:val="auto"/>
          <w:w w:val="80"/>
          <w:sz w:val="36"/>
          <w:szCs w:val="36"/>
          <w:highlight w:val="none"/>
        </w:rPr>
      </w:pP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响应文件组成及格式</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snapToGrid w:val="0"/>
        <w:spacing w:line="360" w:lineRule="auto"/>
        <w:rPr>
          <w:rFonts w:ascii="宋体" w:cs="宋体"/>
          <w:b/>
          <w:color w:val="auto"/>
          <w:sz w:val="24"/>
          <w:szCs w:val="24"/>
          <w:highlight w:val="none"/>
        </w:rPr>
      </w:pPr>
      <w:r>
        <w:rPr>
          <w:rFonts w:ascii="宋体" w:cs="宋体"/>
          <w:b/>
          <w:color w:val="auto"/>
          <w:sz w:val="24"/>
          <w:szCs w:val="24"/>
          <w:highlight w:val="none"/>
        </w:rPr>
        <w:br w:type="page"/>
      </w:r>
      <w:r>
        <w:rPr>
          <w:rFonts w:hint="eastAsia" w:ascii="宋体" w:hAnsi="宋体" w:cs="宋体"/>
          <w:b/>
          <w:color w:val="auto"/>
          <w:sz w:val="24"/>
          <w:szCs w:val="24"/>
          <w:highlight w:val="none"/>
        </w:rPr>
        <w:t>尊敬的磋商供应商：</w:t>
      </w:r>
    </w:p>
    <w:p>
      <w:pPr>
        <w:snapToGrid w:val="0"/>
        <w:spacing w:line="360" w:lineRule="auto"/>
        <w:ind w:firstLine="482" w:firstLineChars="200"/>
        <w:rPr>
          <w:rFonts w:ascii="宋体" w:cs="宋体"/>
          <w:b/>
          <w:color w:val="auto"/>
          <w:sz w:val="24"/>
          <w:szCs w:val="24"/>
          <w:highlight w:val="none"/>
        </w:rPr>
      </w:pPr>
      <w:r>
        <w:rPr>
          <w:rFonts w:hint="eastAsia" w:ascii="宋体" w:hAnsi="宋体" w:cs="宋体"/>
          <w:b/>
          <w:color w:val="auto"/>
          <w:sz w:val="24"/>
          <w:szCs w:val="24"/>
          <w:highlight w:val="none"/>
        </w:rPr>
        <w:t>欢迎参加本采购项目的竞争性磋商。为了保证本次磋商项目顺利进行，请在制作响应文件之前，仔细阅读本竞争性磋商文件的各项条款，并按要求制作和递交响应文件。谢谢合作！</w:t>
      </w:r>
    </w:p>
    <w:p>
      <w:pPr>
        <w:pStyle w:val="25"/>
        <w:tabs>
          <w:tab w:val="left" w:pos="1050"/>
          <w:tab w:val="right" w:leader="dot" w:pos="9402"/>
        </w:tabs>
        <w:spacing w:line="360" w:lineRule="auto"/>
        <w:ind w:left="0"/>
        <w:jc w:val="center"/>
        <w:outlineLvl w:val="0"/>
        <w:rPr>
          <w:rFonts w:ascii="宋体" w:cs="宋体"/>
          <w:b/>
          <w:i w:val="0"/>
          <w:color w:val="auto"/>
          <w:w w:val="80"/>
          <w:sz w:val="44"/>
          <w:szCs w:val="44"/>
          <w:highlight w:val="none"/>
        </w:rPr>
      </w:pPr>
      <w:bookmarkStart w:id="10" w:name="_Toc363573853"/>
      <w:r>
        <w:rPr>
          <w:rFonts w:hint="eastAsia" w:ascii="宋体" w:hAnsi="宋体" w:cs="宋体"/>
          <w:b/>
          <w:i w:val="0"/>
          <w:color w:val="auto"/>
          <w:w w:val="80"/>
          <w:sz w:val="44"/>
          <w:szCs w:val="44"/>
          <w:highlight w:val="none"/>
        </w:rPr>
        <w:t>第一章</w:t>
      </w:r>
      <w:r>
        <w:rPr>
          <w:rFonts w:ascii="宋体" w:hAnsi="宋体" w:cs="宋体"/>
          <w:b/>
          <w:i w:val="0"/>
          <w:color w:val="auto"/>
          <w:w w:val="80"/>
          <w:sz w:val="44"/>
          <w:szCs w:val="44"/>
          <w:highlight w:val="none"/>
        </w:rPr>
        <w:t xml:space="preserve">  </w:t>
      </w:r>
      <w:r>
        <w:rPr>
          <w:rFonts w:hint="eastAsia" w:ascii="宋体" w:hAnsi="宋体" w:cs="宋体"/>
          <w:b/>
          <w:i w:val="0"/>
          <w:color w:val="auto"/>
          <w:w w:val="80"/>
          <w:sz w:val="44"/>
          <w:szCs w:val="44"/>
          <w:highlight w:val="none"/>
        </w:rPr>
        <w:t>竞争性磋商公</w:t>
      </w:r>
      <w:bookmarkEnd w:id="0"/>
      <w:bookmarkEnd w:id="1"/>
      <w:bookmarkEnd w:id="2"/>
      <w:bookmarkEnd w:id="3"/>
      <w:bookmarkEnd w:id="4"/>
      <w:bookmarkEnd w:id="5"/>
      <w:bookmarkEnd w:id="6"/>
      <w:bookmarkEnd w:id="7"/>
      <w:bookmarkEnd w:id="8"/>
      <w:bookmarkEnd w:id="9"/>
      <w:r>
        <w:rPr>
          <w:rFonts w:hint="eastAsia" w:ascii="宋体" w:hAnsi="宋体" w:cs="宋体"/>
          <w:b/>
          <w:i w:val="0"/>
          <w:color w:val="auto"/>
          <w:w w:val="80"/>
          <w:sz w:val="44"/>
          <w:szCs w:val="44"/>
          <w:highlight w:val="none"/>
        </w:rPr>
        <w:t>告</w:t>
      </w:r>
      <w:bookmarkEnd w:id="10"/>
    </w:p>
    <w:p>
      <w:pPr>
        <w:tabs>
          <w:tab w:val="left" w:pos="6300"/>
        </w:tabs>
        <w:snapToGrid w:val="0"/>
        <w:spacing w:line="360" w:lineRule="auto"/>
        <w:jc w:val="left"/>
        <w:rPr>
          <w:rFonts w:ascii="宋体" w:hAnsi="宋体" w:cs="宋体"/>
          <w:color w:val="auto"/>
          <w:sz w:val="24"/>
          <w:szCs w:val="24"/>
          <w:highlight w:val="none"/>
        </w:rPr>
      </w:pPr>
      <w:bookmarkStart w:id="11" w:name="_Toc521203418"/>
      <w:bookmarkStart w:id="12" w:name="_Toc12670503"/>
      <w:bookmarkStart w:id="13" w:name="_Toc94544828"/>
      <w:bookmarkStart w:id="14" w:name="_Toc11554639"/>
      <w:bookmarkStart w:id="15" w:name="_Toc94544744"/>
      <w:bookmarkStart w:id="16" w:name="_Toc11500280"/>
      <w:bookmarkStart w:id="17" w:name="_Toc11499584"/>
      <w:bookmarkStart w:id="18" w:name="_Toc8895739"/>
      <w:bookmarkStart w:id="19" w:name="_Toc521201597"/>
      <w:bookmarkStart w:id="20" w:name="_Toc94585340"/>
      <w:bookmarkStart w:id="21" w:name="_Toc363573854"/>
      <w:r>
        <w:rPr>
          <w:color w:val="auto"/>
          <w:sz w:val="24"/>
          <w:szCs w:val="24"/>
          <w:highlight w:val="none"/>
        </w:rPr>
        <w:t xml:space="preserve">  </w:t>
      </w:r>
      <w:r>
        <w:rPr>
          <w:rFonts w:hint="eastAsia" w:ascii="宋体" w:hAnsi="宋体" w:cs="宋体"/>
          <w:color w:val="auto"/>
          <w:sz w:val="24"/>
          <w:szCs w:val="24"/>
          <w:highlight w:val="none"/>
        </w:rPr>
        <w:t>江苏正扬招标代理有限公司（以下称代理机构）受</w:t>
      </w:r>
      <w:r>
        <w:rPr>
          <w:rFonts w:hint="eastAsia" w:ascii="宋体" w:hAnsi="宋体" w:cs="宋体"/>
          <w:color w:val="auto"/>
          <w:sz w:val="24"/>
          <w:szCs w:val="24"/>
          <w:highlight w:val="none"/>
          <w:lang w:eastAsia="zh-CN"/>
        </w:rPr>
        <w:t>南通市第三人民医院</w:t>
      </w:r>
      <w:r>
        <w:rPr>
          <w:rFonts w:hint="eastAsia" w:ascii="宋体" w:hAnsi="宋体" w:cs="宋体"/>
          <w:color w:val="auto"/>
          <w:sz w:val="24"/>
          <w:szCs w:val="24"/>
          <w:highlight w:val="none"/>
        </w:rPr>
        <w:t>（以下简称采购单位）的委托，对其</w:t>
      </w:r>
      <w:r>
        <w:rPr>
          <w:rFonts w:hint="eastAsia" w:ascii="宋体" w:hAnsi="宋体" w:cs="宋体"/>
          <w:color w:val="auto"/>
          <w:sz w:val="24"/>
          <w:szCs w:val="24"/>
          <w:highlight w:val="none"/>
          <w:lang w:eastAsia="zh-CN"/>
        </w:rPr>
        <w:t>南通市第三人民医院信息系统网络安全等级保护测评服务项目</w:t>
      </w:r>
      <w:r>
        <w:rPr>
          <w:rFonts w:hint="eastAsia" w:ascii="宋体" w:hAnsi="宋体" w:cs="宋体"/>
          <w:color w:val="auto"/>
          <w:sz w:val="24"/>
          <w:szCs w:val="24"/>
          <w:highlight w:val="none"/>
        </w:rPr>
        <w:t>拟用竞争性磋商方式组织采购。现公告如下：</w:t>
      </w:r>
    </w:p>
    <w:p>
      <w:pPr>
        <w:pStyle w:val="6"/>
        <w:spacing w:before="0" w:after="0" w:line="360" w:lineRule="auto"/>
        <w:ind w:firstLine="482" w:firstLineChars="200"/>
        <w:rPr>
          <w:rFonts w:ascii="宋体" w:hAnsi="宋体" w:eastAsia="宋体" w:cs="宋体"/>
          <w:color w:val="auto"/>
          <w:sz w:val="24"/>
          <w:szCs w:val="24"/>
          <w:highlight w:val="none"/>
        </w:rPr>
      </w:pPr>
      <w:bookmarkStart w:id="22" w:name="_Toc35393798"/>
      <w:bookmarkStart w:id="23" w:name="_Toc28359089"/>
      <w:bookmarkStart w:id="24" w:name="_Toc35393629"/>
      <w:bookmarkStart w:id="25" w:name="_Toc28359012"/>
      <w:r>
        <w:rPr>
          <w:rFonts w:hint="eastAsia" w:ascii="宋体" w:hAnsi="宋体" w:eastAsia="宋体" w:cs="宋体"/>
          <w:color w:val="auto"/>
          <w:sz w:val="24"/>
          <w:szCs w:val="24"/>
          <w:highlight w:val="none"/>
        </w:rPr>
        <w:t>一、项目基本情况</w:t>
      </w:r>
      <w:bookmarkEnd w:id="22"/>
      <w:bookmarkEnd w:id="23"/>
      <w:bookmarkEnd w:id="24"/>
      <w:bookmarkEnd w:id="25"/>
    </w:p>
    <w:p>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南通市第三人民医院信息系统网络安全等级保护测评服务项目</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2、采购方式：竞争性磋商</w:t>
      </w:r>
    </w:p>
    <w:p>
      <w:pPr>
        <w:snapToGrid w:val="0"/>
        <w:spacing w:line="360" w:lineRule="auto"/>
        <w:ind w:firstLine="480" w:firstLineChars="2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3、项</w:t>
      </w:r>
      <w:r>
        <w:rPr>
          <w:rFonts w:hint="eastAsia" w:ascii="宋体" w:hAnsi="宋体" w:cs="宋体"/>
          <w:color w:val="auto"/>
          <w:sz w:val="24"/>
          <w:szCs w:val="24"/>
          <w:highlight w:val="none"/>
          <w:lang w:val="en-US" w:eastAsia="zh-CN"/>
        </w:rPr>
        <w:t>目预算：10.1万元</w:t>
      </w:r>
    </w:p>
    <w:p>
      <w:pPr>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4、最高限价：10.1万元</w:t>
      </w:r>
    </w:p>
    <w:p>
      <w:pPr>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5、采购需求：详见第三章项目需求</w:t>
      </w:r>
    </w:p>
    <w:p>
      <w:pPr>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交付时间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签订合同后60天内完成网络安全等级保护测评并出具盖章报告，并完成备案 </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7、本项目不接受任何形式的联合体竞争性磋商</w:t>
      </w:r>
    </w:p>
    <w:p>
      <w:pPr>
        <w:spacing w:line="360" w:lineRule="auto"/>
        <w:ind w:firstLine="354" w:firstLineChars="147"/>
        <w:jc w:val="left"/>
        <w:rPr>
          <w:rFonts w:ascii="宋体" w:hAnsi="宋体" w:cs="宋体"/>
          <w:b/>
          <w:color w:val="auto"/>
          <w:sz w:val="24"/>
          <w:szCs w:val="24"/>
          <w:highlight w:val="none"/>
        </w:rPr>
      </w:pPr>
      <w:r>
        <w:rPr>
          <w:rFonts w:hint="eastAsia" w:ascii="宋体" w:hAnsi="宋体" w:cs="宋体"/>
          <w:b/>
          <w:color w:val="auto"/>
          <w:sz w:val="24"/>
          <w:szCs w:val="24"/>
          <w:highlight w:val="none"/>
        </w:rPr>
        <w:t xml:space="preserve"> 二、</w:t>
      </w:r>
      <w:r>
        <w:rPr>
          <w:rFonts w:hint="eastAsia" w:ascii="宋体" w:hAnsi="宋体" w:cs="宋体"/>
          <w:b/>
          <w:bCs/>
          <w:color w:val="auto"/>
          <w:sz w:val="24"/>
          <w:szCs w:val="24"/>
          <w:highlight w:val="none"/>
        </w:rPr>
        <w:t>供应商资格要求</w:t>
      </w:r>
      <w:r>
        <w:rPr>
          <w:rFonts w:hint="eastAsia" w:ascii="宋体" w:hAnsi="宋体" w:cs="宋体"/>
          <w:b/>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1、具有独立承担民事责任的能力；具有良好的商业信誉和健全的财务会计制度；具有履行合同所必需的设备和专业技术能力；有依法缴纳税收和社会保障资金的良好记录；参加</w:t>
      </w:r>
      <w:r>
        <w:rPr>
          <w:rFonts w:hint="eastAsia" w:ascii="宋体" w:hAnsi="宋体" w:cs="宋体"/>
          <w:color w:val="auto"/>
          <w:sz w:val="24"/>
          <w:szCs w:val="24"/>
          <w:highlight w:val="none"/>
          <w:lang w:val="en-US" w:eastAsia="zh-CN"/>
        </w:rPr>
        <w:t>本次</w:t>
      </w:r>
      <w:r>
        <w:rPr>
          <w:rFonts w:hint="eastAsia" w:ascii="宋体" w:hAnsi="宋体" w:cs="宋体"/>
          <w:color w:val="auto"/>
          <w:sz w:val="24"/>
          <w:szCs w:val="24"/>
          <w:highlight w:val="none"/>
        </w:rPr>
        <w:t>采购活动前三年内，在经营活动中没有重大违法记录。</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2、法定代表人为同一个人的两个及两个以上法人，母公司、全资子公司及其控股公司，都不得在同一采购项目相同标段中同时参加竞争性磋商，一经发现，将视同围标处理。</w:t>
      </w:r>
    </w:p>
    <w:p>
      <w:pPr>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供应商其他资格要求：</w:t>
      </w:r>
    </w:p>
    <w:p>
      <w:pPr>
        <w:numPr>
          <w:ilvl w:val="0"/>
          <w:numId w:val="2"/>
        </w:num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投标供应商必须具有独立的法人资格，提供有效的营业执照及税务登记证（或者是三证合一的营业执照），有能力提供本次采购项目所要求的服务。</w:t>
      </w:r>
    </w:p>
    <w:p>
      <w:pPr>
        <w:snapToGri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投标供应商需具有公安部门网络安全等级保护评估中心颁发的《网络安全等级保护测评机构推荐证书》</w:t>
      </w:r>
      <w:r>
        <w:rPr>
          <w:rFonts w:hint="eastAsia" w:ascii="宋体" w:hAnsi="宋体" w:cs="宋体"/>
          <w:color w:val="auto"/>
          <w:sz w:val="24"/>
          <w:szCs w:val="24"/>
          <w:highlight w:val="none"/>
          <w:lang w:eastAsia="zh-CN"/>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授权代表与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签订的有效劳动合同复印件</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、投标供应商须提供参与本次项目采购活动前三年内，在经营活动中没有重大违法记录的书面《无重大违法记录声明函》（</w:t>
      </w:r>
      <w:r>
        <w:rPr>
          <w:rFonts w:hint="eastAsia" w:ascii="宋体" w:hAnsi="宋体" w:cs="宋体"/>
          <w:color w:val="auto"/>
          <w:sz w:val="24"/>
          <w:szCs w:val="24"/>
          <w:highlight w:val="none"/>
          <w:lang w:eastAsia="zh-CN"/>
        </w:rPr>
        <w:t>格式参见第七章</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、关于资格文件的声明函（</w:t>
      </w:r>
      <w:r>
        <w:rPr>
          <w:rFonts w:hint="eastAsia" w:ascii="宋体" w:hAnsi="宋体" w:cs="宋体"/>
          <w:color w:val="auto"/>
          <w:sz w:val="24"/>
          <w:szCs w:val="24"/>
          <w:highlight w:val="none"/>
          <w:lang w:eastAsia="zh-CN"/>
        </w:rPr>
        <w:t>格式参见第七章</w:t>
      </w:r>
      <w:r>
        <w:rPr>
          <w:rFonts w:hint="eastAsia" w:ascii="宋体" w:hAnsi="宋体" w:cs="宋体"/>
          <w:color w:val="auto"/>
          <w:sz w:val="24"/>
          <w:szCs w:val="24"/>
          <w:highlight w:val="none"/>
        </w:rPr>
        <w:t>）。</w:t>
      </w:r>
    </w:p>
    <w:p>
      <w:pPr>
        <w:widowControl/>
        <w:snapToGrid w:val="0"/>
        <w:spacing w:line="360" w:lineRule="auto"/>
        <w:ind w:firstLine="472" w:firstLineChars="196"/>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具体资格要求详见第</w:t>
      </w:r>
      <w:r>
        <w:rPr>
          <w:rFonts w:hint="eastAsia" w:ascii="宋体" w:hAnsi="宋体" w:cs="宋体"/>
          <w:b/>
          <w:color w:val="auto"/>
          <w:sz w:val="24"/>
          <w:szCs w:val="24"/>
          <w:highlight w:val="none"/>
          <w:u w:val="single"/>
          <w:lang w:val="en-US" w:eastAsia="zh-CN"/>
        </w:rPr>
        <w:t>七</w:t>
      </w:r>
      <w:r>
        <w:rPr>
          <w:rFonts w:hint="eastAsia" w:ascii="宋体" w:hAnsi="宋体" w:cs="宋体"/>
          <w:b/>
          <w:color w:val="auto"/>
          <w:sz w:val="24"/>
          <w:szCs w:val="24"/>
          <w:highlight w:val="none"/>
          <w:u w:val="single"/>
        </w:rPr>
        <w:t xml:space="preserve">章中的“资格审查文件”。 </w:t>
      </w:r>
    </w:p>
    <w:p>
      <w:pPr>
        <w:widowControl/>
        <w:snapToGrid w:val="0"/>
        <w:spacing w:line="360" w:lineRule="auto"/>
        <w:ind w:firstLine="472" w:firstLineChars="196"/>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该投标供应商将记入不良记录</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w:t>
      </w:r>
    </w:p>
    <w:p>
      <w:pPr>
        <w:widowControl/>
        <w:snapToGrid w:val="0"/>
        <w:spacing w:line="360" w:lineRule="auto"/>
        <w:ind w:firstLine="472" w:firstLineChars="196"/>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非采购人原因成交供应商放弃成交资格的，报</w:t>
      </w:r>
      <w:r>
        <w:rPr>
          <w:rFonts w:hint="eastAsia" w:ascii="宋体" w:hAnsi="宋体" w:cs="宋体"/>
          <w:b/>
          <w:bCs/>
          <w:color w:val="auto"/>
          <w:kern w:val="0"/>
          <w:sz w:val="24"/>
          <w:szCs w:val="24"/>
          <w:highlight w:val="none"/>
          <w:lang w:val="en-US" w:eastAsia="zh-CN"/>
        </w:rPr>
        <w:t>上级部门</w:t>
      </w:r>
      <w:r>
        <w:rPr>
          <w:rFonts w:hint="eastAsia" w:ascii="宋体" w:hAnsi="宋体" w:cs="宋体"/>
          <w:b/>
          <w:bCs/>
          <w:color w:val="auto"/>
          <w:kern w:val="0"/>
          <w:sz w:val="24"/>
          <w:szCs w:val="24"/>
          <w:highlight w:val="none"/>
        </w:rPr>
        <w:t>将其列入采购黑名单。</w:t>
      </w:r>
    </w:p>
    <w:p>
      <w:pPr>
        <w:pStyle w:val="2"/>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成交，采购人有权取消其</w:t>
      </w:r>
      <w:r>
        <w:rPr>
          <w:rFonts w:hint="eastAsia" w:ascii="宋体" w:hAnsi="宋体" w:cs="宋体"/>
          <w:color w:val="auto"/>
          <w:kern w:val="0"/>
          <w:szCs w:val="24"/>
          <w:highlight w:val="none"/>
        </w:rPr>
        <w:t>成交</w:t>
      </w:r>
      <w:r>
        <w:rPr>
          <w:rFonts w:hint="eastAsia" w:ascii="宋体" w:hAnsi="宋体" w:cs="宋体"/>
          <w:color w:val="auto"/>
          <w:szCs w:val="24"/>
          <w:highlight w:val="none"/>
        </w:rPr>
        <w:t>资格，并由该投标供应商承担由此带来可能的一切责任和损失。</w:t>
      </w:r>
    </w:p>
    <w:p>
      <w:pPr>
        <w:snapToGrid w:val="0"/>
        <w:spacing w:line="360" w:lineRule="auto"/>
        <w:ind w:firstLine="482" w:firstLineChars="200"/>
        <w:contextualSpacing/>
        <w:rPr>
          <w:rFonts w:ascii="宋体" w:hAnsi="宋体" w:cs="宋体"/>
          <w:b/>
          <w:bCs/>
          <w:color w:val="auto"/>
          <w:sz w:val="24"/>
          <w:szCs w:val="24"/>
          <w:highlight w:val="yellow"/>
        </w:rPr>
      </w:pPr>
      <w:r>
        <w:rPr>
          <w:rFonts w:hint="eastAsia" w:ascii="宋体" w:hAnsi="宋体" w:cs="宋体"/>
          <w:b/>
          <w:bCs/>
          <w:color w:val="auto"/>
          <w:sz w:val="24"/>
          <w:szCs w:val="24"/>
          <w:highlight w:val="none"/>
        </w:rPr>
        <w:t>三、获取采购文件</w:t>
      </w:r>
    </w:p>
    <w:p>
      <w:pPr>
        <w:widowControl/>
        <w:snapToGrid w:val="0"/>
        <w:spacing w:line="360" w:lineRule="auto"/>
        <w:ind w:firstLine="480" w:firstLineChars="200"/>
        <w:jc w:val="left"/>
        <w:rPr>
          <w:rFonts w:hint="eastAsia" w:ascii="宋体" w:hAnsi="宋体" w:cs="宋体"/>
          <w:color w:val="auto"/>
          <w:sz w:val="24"/>
          <w:szCs w:val="24"/>
          <w:highlight w:val="none"/>
        </w:rPr>
      </w:pPr>
      <w:bookmarkStart w:id="26" w:name="_Toc35393632"/>
      <w:bookmarkStart w:id="27" w:name="_Toc28359015"/>
      <w:bookmarkStart w:id="28" w:name="_Toc28359092"/>
      <w:bookmarkStart w:id="29" w:name="_Toc35393801"/>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日，每天上午9:30至11:30，下午14:00至17:00（北京时间，法定节假日除外），202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日17:00后不再发售磋商文件。</w:t>
      </w:r>
    </w:p>
    <w:p>
      <w:pPr>
        <w:widowControl/>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2、地点：南通市崇川区青年中路153号4号楼213室</w:t>
      </w:r>
    </w:p>
    <w:p>
      <w:pPr>
        <w:widowControl/>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3、方式：现场</w:t>
      </w:r>
      <w:r>
        <w:rPr>
          <w:rFonts w:hint="eastAsia" w:ascii="宋体" w:hAnsi="宋体" w:cs="宋体"/>
          <w:color w:val="auto"/>
          <w:sz w:val="24"/>
          <w:szCs w:val="24"/>
          <w:highlight w:val="none"/>
          <w:lang w:val="en-US" w:eastAsia="zh-CN"/>
        </w:rPr>
        <w:t>领取</w:t>
      </w:r>
      <w:r>
        <w:rPr>
          <w:rFonts w:hint="eastAsia" w:ascii="宋体" w:hAnsi="宋体" w:cs="宋体"/>
          <w:color w:val="auto"/>
          <w:sz w:val="24"/>
          <w:szCs w:val="24"/>
          <w:highlight w:val="none"/>
        </w:rPr>
        <w:t>（或联系代理公司工作人员办理，联系电话17778751998）</w:t>
      </w:r>
    </w:p>
    <w:p>
      <w:pPr>
        <w:widowControl/>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4、售价：每份300元，售后不退。</w:t>
      </w:r>
    </w:p>
    <w:p>
      <w:pPr>
        <w:widowControl/>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、有关本次招标的事项若存在变动或修改，敬请及时关注“</w:t>
      </w:r>
      <w:r>
        <w:rPr>
          <w:rFonts w:hint="eastAsia" w:ascii="宋体" w:hAnsi="宋体" w:cs="宋体"/>
          <w:b/>
          <w:bCs/>
          <w:color w:val="auto"/>
          <w:sz w:val="24"/>
          <w:szCs w:val="24"/>
          <w:highlight w:val="none"/>
          <w:lang w:eastAsia="zh-CN"/>
        </w:rPr>
        <w:t>南通市第三人民医院官网</w:t>
      </w:r>
      <w:r>
        <w:rPr>
          <w:rFonts w:hint="eastAsia" w:ascii="宋体" w:hAnsi="宋体" w:cs="宋体"/>
          <w:color w:val="auto"/>
          <w:sz w:val="24"/>
          <w:szCs w:val="24"/>
          <w:highlight w:val="none"/>
        </w:rPr>
        <w:t>”</w:t>
      </w:r>
      <w:r>
        <w:rPr>
          <w:rFonts w:hint="eastAsia" w:ascii="宋体" w:hAnsi="宋体" w:cs="宋体"/>
          <w:color w:val="auto"/>
          <w:sz w:val="24"/>
          <w:szCs w:val="24"/>
          <w:highlight w:val="none"/>
        </w:rPr>
        <w:t>发布的信息更正公告，恕不另行通知，如有遗漏招标采购单位概不负责。</w:t>
      </w: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四、响应文件提交</w:t>
      </w:r>
      <w:bookmarkEnd w:id="26"/>
      <w:bookmarkEnd w:id="27"/>
      <w:bookmarkEnd w:id="28"/>
      <w:bookmarkEnd w:id="29"/>
    </w:p>
    <w:p>
      <w:pPr>
        <w:snapToGrid w:val="0"/>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竞争性磋商响应文件接收截止及评审开始时间</w:t>
      </w:r>
      <w:r>
        <w:rPr>
          <w:rFonts w:hint="eastAsia" w:ascii="宋体" w:hAnsi="宋体" w:cs="宋体"/>
          <w:b/>
          <w:bCs/>
          <w:color w:val="auto"/>
          <w:kern w:val="0"/>
          <w:sz w:val="24"/>
          <w:szCs w:val="24"/>
          <w:highlight w:val="none"/>
        </w:rPr>
        <w:t>：</w:t>
      </w:r>
      <w:r>
        <w:rPr>
          <w:rFonts w:hint="eastAsia" w:ascii="宋体" w:hAnsi="宋体" w:cs="宋体"/>
          <w:b/>
          <w:bCs/>
          <w:color w:val="auto"/>
          <w:sz w:val="24"/>
          <w:szCs w:val="24"/>
          <w:highlight w:val="none"/>
        </w:rPr>
        <w:t>2021年</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09</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r>
        <w:rPr>
          <w:rFonts w:hint="eastAsia" w:ascii="宋体" w:hAnsi="宋体" w:cs="宋体"/>
          <w:color w:val="auto"/>
          <w:sz w:val="24"/>
          <w:szCs w:val="24"/>
          <w:highlight w:val="none"/>
        </w:rPr>
        <w:t>（北京时间）</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2、竞争性磋商响应文件递交地址：</w:t>
      </w:r>
      <w:r>
        <w:rPr>
          <w:rFonts w:hint="eastAsia" w:ascii="宋体" w:hAnsi="宋体" w:cs="宋体"/>
          <w:color w:val="auto"/>
          <w:sz w:val="24"/>
          <w:szCs w:val="24"/>
          <w:highlight w:val="none"/>
          <w:lang w:eastAsia="zh-CN"/>
        </w:rPr>
        <w:t>南通市崇川区青年中路153号4号楼211室</w:t>
      </w:r>
      <w:r>
        <w:rPr>
          <w:rFonts w:hint="eastAsia" w:ascii="宋体" w:hAnsi="宋体" w:cs="宋体"/>
          <w:color w:val="auto"/>
          <w:sz w:val="24"/>
          <w:szCs w:val="24"/>
          <w:highlight w:val="none"/>
        </w:rPr>
        <w:t>，如有变动另行通知。</w:t>
      </w:r>
    </w:p>
    <w:p>
      <w:pPr>
        <w:snapToGrid w:val="0"/>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五、开启</w:t>
      </w:r>
    </w:p>
    <w:p>
      <w:pPr>
        <w:snapToGrid w:val="0"/>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竞争性磋商</w:t>
      </w:r>
      <w:r>
        <w:rPr>
          <w:rFonts w:hint="eastAsia" w:ascii="宋体" w:hAnsi="宋体" w:cs="宋体"/>
          <w:color w:val="auto"/>
          <w:sz w:val="24"/>
          <w:szCs w:val="24"/>
          <w:highlight w:val="none"/>
        </w:rPr>
        <w:t>响应文件开启时间：</w:t>
      </w:r>
      <w:r>
        <w:rPr>
          <w:rFonts w:hint="eastAsia" w:ascii="宋体" w:hAnsi="宋体" w:cs="宋体"/>
          <w:b/>
          <w:bCs/>
          <w:color w:val="auto"/>
          <w:sz w:val="24"/>
          <w:szCs w:val="24"/>
          <w:highlight w:val="none"/>
        </w:rPr>
        <w:t>2021年</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09</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r>
        <w:rPr>
          <w:rFonts w:hint="eastAsia" w:ascii="宋体" w:hAnsi="宋体" w:cs="宋体"/>
          <w:color w:val="auto"/>
          <w:sz w:val="24"/>
          <w:szCs w:val="24"/>
          <w:highlight w:val="none"/>
        </w:rPr>
        <w:t>（北京时间）</w:t>
      </w:r>
    </w:p>
    <w:p>
      <w:pPr>
        <w:snapToGrid w:val="0"/>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竞争性磋商</w:t>
      </w:r>
      <w:r>
        <w:rPr>
          <w:rFonts w:hint="eastAsia" w:ascii="宋体" w:hAnsi="宋体" w:cs="宋体"/>
          <w:color w:val="auto"/>
          <w:sz w:val="24"/>
          <w:szCs w:val="24"/>
          <w:highlight w:val="none"/>
        </w:rPr>
        <w:t>响应文件开启地点：</w:t>
      </w:r>
      <w:r>
        <w:rPr>
          <w:rFonts w:hint="eastAsia" w:ascii="宋体" w:hAnsi="宋体" w:cs="宋体"/>
          <w:color w:val="auto"/>
          <w:sz w:val="24"/>
          <w:szCs w:val="24"/>
          <w:highlight w:val="none"/>
          <w:lang w:eastAsia="zh-CN"/>
        </w:rPr>
        <w:t>南通市崇川区青年中路153号4号楼211室</w:t>
      </w:r>
      <w:r>
        <w:rPr>
          <w:rFonts w:hint="eastAsia" w:ascii="宋体" w:hAnsi="宋体" w:cs="宋体"/>
          <w:color w:val="auto"/>
          <w:sz w:val="24"/>
          <w:szCs w:val="24"/>
          <w:highlight w:val="none"/>
        </w:rPr>
        <w:t>，如有变动另行通知。</w:t>
      </w:r>
    </w:p>
    <w:p>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六、公告期限：</w:t>
      </w:r>
      <w:r>
        <w:rPr>
          <w:rFonts w:hint="eastAsia" w:ascii="宋体" w:hAnsi="宋体" w:cs="宋体"/>
          <w:color w:val="auto"/>
          <w:sz w:val="24"/>
          <w:szCs w:val="24"/>
          <w:highlight w:val="none"/>
        </w:rPr>
        <w:t>自本公告发布之日起3个工作日。</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七、凡对本次采购提出询问，请按以下方式联系</w:t>
      </w:r>
    </w:p>
    <w:p>
      <w:pPr>
        <w:numPr>
          <w:ilvl w:val="0"/>
          <w:numId w:val="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采购人信息</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名称：南通市第三人民医院</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地址：</w:t>
      </w:r>
      <w:r>
        <w:rPr>
          <w:rFonts w:hint="default" w:ascii="宋体" w:hAnsi="宋体" w:cs="宋体"/>
          <w:color w:val="auto"/>
          <w:sz w:val="24"/>
          <w:szCs w:val="24"/>
          <w:highlight w:val="none"/>
          <w:lang w:val="en-US" w:eastAsia="zh-CN"/>
        </w:rPr>
        <w:t>南通市崇川区青年中路99号</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联系电话：0513-89093929</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 xml:space="preserve"> </w:t>
      </w:r>
    </w:p>
    <w:p>
      <w:pPr>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pPr>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名称：江苏正扬招标代理有限公司</w:t>
      </w:r>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地址：南通市崇川区青年中路153号4号楼213室</w:t>
      </w:r>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联系人：李艳梅     </w:t>
      </w:r>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联系电话：17778751998</w:t>
      </w:r>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邮箱号码：1205007749@qq.com</w:t>
      </w:r>
    </w:p>
    <w:p>
      <w:pPr>
        <w:spacing w:line="360" w:lineRule="auto"/>
        <w:ind w:left="420" w:leftChars="200"/>
        <w:rPr>
          <w:rFonts w:hint="eastAsia" w:ascii="宋体" w:hAnsi="宋体" w:cs="宋体"/>
          <w:color w:val="auto"/>
          <w:sz w:val="24"/>
          <w:szCs w:val="24"/>
          <w:highlight w:val="none"/>
        </w:rPr>
      </w:pPr>
      <w:bookmarkStart w:id="30" w:name="_Toc28359021"/>
      <w:bookmarkStart w:id="31" w:name="_Toc35393639"/>
      <w:bookmarkStart w:id="32" w:name="_Toc35393808"/>
      <w:bookmarkStart w:id="33" w:name="_Toc28359098"/>
      <w:r>
        <w:rPr>
          <w:rFonts w:hint="eastAsia" w:ascii="宋体" w:hAnsi="宋体" w:cs="宋体"/>
          <w:color w:val="auto"/>
          <w:sz w:val="24"/>
          <w:szCs w:val="24"/>
          <w:highlight w:val="none"/>
        </w:rPr>
        <w:t>3、项目联系方式</w:t>
      </w:r>
      <w:bookmarkEnd w:id="30"/>
      <w:bookmarkEnd w:id="31"/>
      <w:bookmarkEnd w:id="32"/>
      <w:bookmarkEnd w:id="33"/>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 xml:space="preserve">王先生 </w:t>
      </w:r>
      <w:r>
        <w:rPr>
          <w:rFonts w:hint="eastAsia" w:ascii="宋体" w:hAnsi="宋体" w:cs="宋体"/>
          <w:color w:val="auto"/>
          <w:sz w:val="24"/>
          <w:szCs w:val="24"/>
          <w:highlight w:val="none"/>
        </w:rPr>
        <w:t xml:space="preserve">    </w:t>
      </w:r>
    </w:p>
    <w:p>
      <w:pPr>
        <w:spacing w:line="360" w:lineRule="auto"/>
        <w:ind w:left="420" w:leftChars="200"/>
        <w:rPr>
          <w:rFonts w:ascii="宋体" w:hAnsi="宋体" w:cs="宋体"/>
          <w:color w:val="auto"/>
          <w:szCs w:val="21"/>
          <w:highlight w:val="yellow"/>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0513-89093929</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pPr>
        <w:pStyle w:val="5"/>
        <w:keepNext w:val="0"/>
        <w:keepLines w:val="0"/>
        <w:snapToGrid w:val="0"/>
        <w:spacing w:before="0" w:after="0" w:line="360" w:lineRule="auto"/>
        <w:jc w:val="center"/>
        <w:rPr>
          <w:rFonts w:ascii="宋体" w:cs="宋体"/>
          <w:color w:val="auto"/>
          <w:w w:val="80"/>
          <w:sz w:val="24"/>
          <w:szCs w:val="24"/>
          <w:highlight w:val="none"/>
        </w:rPr>
      </w:pPr>
      <w:r>
        <w:rPr>
          <w:rFonts w:ascii="宋体" w:cs="宋体"/>
          <w:color w:val="auto"/>
          <w:w w:val="80"/>
          <w:sz w:val="24"/>
          <w:szCs w:val="24"/>
          <w:highlight w:val="none"/>
        </w:rPr>
        <w:br w:type="page"/>
      </w:r>
      <w:r>
        <w:rPr>
          <w:rFonts w:hint="eastAsia" w:ascii="宋体" w:hAnsi="宋体" w:cs="宋体"/>
          <w:color w:val="auto"/>
          <w:w w:val="80"/>
          <w:kern w:val="2"/>
          <w:szCs w:val="44"/>
          <w:highlight w:val="none"/>
        </w:rPr>
        <w:t>第二章</w:t>
      </w:r>
      <w:r>
        <w:rPr>
          <w:rFonts w:ascii="宋体" w:hAnsi="宋体" w:cs="宋体"/>
          <w:color w:val="auto"/>
          <w:w w:val="80"/>
          <w:kern w:val="2"/>
          <w:szCs w:val="44"/>
          <w:highlight w:val="none"/>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color w:val="auto"/>
          <w:w w:val="80"/>
          <w:kern w:val="2"/>
          <w:szCs w:val="44"/>
          <w:highlight w:val="none"/>
        </w:rPr>
        <w:t>磋商供应商须知</w:t>
      </w:r>
      <w:bookmarkEnd w:id="21"/>
    </w:p>
    <w:p>
      <w:pPr>
        <w:snapToGrid w:val="0"/>
        <w:spacing w:line="480" w:lineRule="exact"/>
        <w:ind w:firstLine="482" w:firstLineChars="200"/>
        <w:outlineLvl w:val="1"/>
        <w:rPr>
          <w:rFonts w:ascii="宋体" w:cs="宋体"/>
          <w:b/>
          <w:bCs/>
          <w:color w:val="auto"/>
          <w:sz w:val="24"/>
          <w:szCs w:val="24"/>
          <w:highlight w:val="none"/>
        </w:rPr>
      </w:pPr>
      <w:bookmarkStart w:id="34" w:name="_Toc521203419"/>
      <w:bookmarkStart w:id="35" w:name="_Toc11499585"/>
      <w:bookmarkStart w:id="36" w:name="_Toc8895740"/>
      <w:bookmarkStart w:id="37" w:name="_Toc94544871"/>
      <w:bookmarkStart w:id="38" w:name="_Toc11554640"/>
      <w:bookmarkStart w:id="39" w:name="_Toc94544745"/>
      <w:bookmarkStart w:id="40" w:name="_Toc11500281"/>
      <w:bookmarkStart w:id="41" w:name="_Toc12670504"/>
      <w:bookmarkStart w:id="42" w:name="_Toc94585341"/>
      <w:bookmarkStart w:id="43" w:name="_Toc521201598"/>
      <w:r>
        <w:rPr>
          <w:rFonts w:hint="eastAsia" w:ascii="宋体" w:hAnsi="宋体" w:cs="宋体"/>
          <w:b/>
          <w:bCs/>
          <w:color w:val="auto"/>
          <w:sz w:val="24"/>
          <w:szCs w:val="24"/>
          <w:highlight w:val="none"/>
        </w:rPr>
        <w:t>一、说明</w:t>
      </w:r>
    </w:p>
    <w:p>
      <w:pPr>
        <w:snapToGrid w:val="0"/>
        <w:spacing w:line="48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bCs/>
          <w:color w:val="auto"/>
          <w:sz w:val="24"/>
          <w:szCs w:val="24"/>
          <w:highlight w:val="none"/>
        </w:rPr>
        <w:t>、本竞争性磋商文件仅适用于江苏正扬招标代理有限公司组织的竞争性磋商采购活动。</w:t>
      </w:r>
    </w:p>
    <w:p>
      <w:pPr>
        <w:snapToGrid w:val="0"/>
        <w:spacing w:line="48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2</w:t>
      </w:r>
      <w:r>
        <w:rPr>
          <w:rFonts w:hint="eastAsia" w:ascii="宋体" w:hAnsi="宋体" w:cs="宋体"/>
          <w:bCs/>
          <w:color w:val="auto"/>
          <w:sz w:val="24"/>
          <w:szCs w:val="24"/>
          <w:highlight w:val="none"/>
        </w:rPr>
        <w:t>、竞争性磋商活动及因本次磋商产生的合同受中国法律制约和保护。</w:t>
      </w:r>
    </w:p>
    <w:p>
      <w:pPr>
        <w:snapToGrid w:val="0"/>
        <w:spacing w:line="48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3</w:t>
      </w:r>
      <w:r>
        <w:rPr>
          <w:rFonts w:hint="eastAsia" w:ascii="宋体" w:hAnsi="宋体" w:cs="宋体"/>
          <w:bCs/>
          <w:color w:val="auto"/>
          <w:sz w:val="24"/>
          <w:szCs w:val="24"/>
          <w:highlight w:val="none"/>
        </w:rPr>
        <w:t>、竞争性磋商文件的解释权属于江苏正扬招标代理有限公司。</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color w:val="auto"/>
          <w:sz w:val="24"/>
          <w:szCs w:val="24"/>
          <w:highlight w:val="none"/>
        </w:rPr>
        <w:t>4</w:t>
      </w:r>
      <w:r>
        <w:rPr>
          <w:rFonts w:hint="eastAsia" w:ascii="宋体" w:hAnsi="宋体" w:cs="宋体"/>
          <w:color w:val="auto"/>
          <w:sz w:val="24"/>
          <w:szCs w:val="24"/>
          <w:highlight w:val="none"/>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color w:val="auto"/>
          <w:sz w:val="24"/>
          <w:szCs w:val="24"/>
          <w:highlight w:val="none"/>
        </w:rPr>
        <w:t>非书面形式的不作为日后质疑提出的依据。</w:t>
      </w:r>
    </w:p>
    <w:p>
      <w:pPr>
        <w:snapToGrid w:val="0"/>
        <w:spacing w:line="48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二、磋商文件的澄清、修改、答疑</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、代理机构有权对发出的磋商文件进行必要的澄清、修改或补充。</w:t>
      </w:r>
    </w:p>
    <w:p>
      <w:pPr>
        <w:snapToGrid w:val="0"/>
        <w:spacing w:line="48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、磋商文件的澄清、修改、补充等内容均以书面明确的形式发布，并以南通市</w:t>
      </w:r>
      <w:r>
        <w:rPr>
          <w:rFonts w:hint="eastAsia" w:ascii="宋体" w:hAnsi="宋体" w:cs="宋体"/>
          <w:color w:val="auto"/>
          <w:sz w:val="24"/>
          <w:szCs w:val="24"/>
          <w:highlight w:val="none"/>
          <w:lang w:eastAsia="zh-CN"/>
        </w:rPr>
        <w:t>南通市第三人民医院官网</w:t>
      </w:r>
      <w:r>
        <w:rPr>
          <w:rFonts w:hint="eastAsia" w:ascii="宋体" w:hAnsi="宋体" w:cs="宋体"/>
          <w:color w:val="auto"/>
          <w:sz w:val="24"/>
          <w:szCs w:val="24"/>
          <w:highlight w:val="none"/>
        </w:rPr>
        <w:t>发布的信息为准。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、代理机构对磋商文件的澄清、修改将构成磋商文件的一部分，对响应磋商的供应商具有约束力。</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、澄清或者修改的内容可能影响到响应文件编制的，代理机构将在提交响应文件接收截止之日</w:t>
      </w:r>
      <w:r>
        <w:rPr>
          <w:rFonts w:ascii="宋体" w:hAnsi="宋体" w:cs="宋体"/>
          <w:color w:val="auto"/>
          <w:sz w:val="24"/>
          <w:szCs w:val="24"/>
          <w:highlight w:val="none"/>
        </w:rPr>
        <w:t>5</w:t>
      </w:r>
      <w:r>
        <w:rPr>
          <w:rFonts w:hint="eastAsia" w:ascii="宋体" w:hAnsi="宋体" w:cs="宋体"/>
          <w:color w:val="auto"/>
          <w:sz w:val="24"/>
          <w:szCs w:val="24"/>
          <w:highlight w:val="none"/>
        </w:rPr>
        <w:t>日前，发布澄清或者修改公告，不足</w:t>
      </w:r>
      <w:r>
        <w:rPr>
          <w:rFonts w:ascii="宋体" w:hAnsi="宋体" w:cs="宋体"/>
          <w:color w:val="auto"/>
          <w:sz w:val="24"/>
          <w:szCs w:val="24"/>
          <w:highlight w:val="none"/>
        </w:rPr>
        <w:t>5</w:t>
      </w:r>
      <w:r>
        <w:rPr>
          <w:rFonts w:hint="eastAsia" w:ascii="宋体" w:hAnsi="宋体" w:cs="宋体"/>
          <w:color w:val="auto"/>
          <w:sz w:val="24"/>
          <w:szCs w:val="24"/>
          <w:highlight w:val="none"/>
        </w:rPr>
        <w:t>日的，当顺延提交响应文件接收截止时间。</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、采购单位视情况组织答疑会。如有产生答疑且对磋商文件内容有修改，代理机构将按照本须知有关规定，以补充通知（公告）的方式发出。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bCs/>
          <w:color w:val="auto"/>
          <w:sz w:val="24"/>
          <w:szCs w:val="24"/>
          <w:highlight w:val="none"/>
        </w:rPr>
        <w:t>磋商项目涉及到的现场勘察</w:t>
      </w:r>
    </w:p>
    <w:p>
      <w:pPr>
        <w:spacing w:line="480" w:lineRule="exact"/>
        <w:ind w:firstLine="484" w:firstLineChars="202"/>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pacing w:line="480" w:lineRule="exact"/>
        <w:ind w:firstLine="484" w:firstLineChars="202"/>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、采购单位向供应商提供的有关现场的资料和数据，是采购单位现有的并认为能使供应商可利用的资料。采购人对供应商由此而做出的推论、理解和结论概不负责。</w:t>
      </w:r>
    </w:p>
    <w:p>
      <w:pPr>
        <w:spacing w:line="480" w:lineRule="exact"/>
        <w:ind w:firstLine="484" w:firstLineChars="202"/>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、经采购人允许，供应商可为勘察目的进入采购人的项目现场，但供应商不得因此使采购人承担有关的责任和蒙受损失。供应商应承担勘察现场的责任和风险。</w:t>
      </w:r>
    </w:p>
    <w:p>
      <w:pPr>
        <w:spacing w:line="480" w:lineRule="exact"/>
        <w:ind w:firstLine="484" w:firstLineChars="202"/>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spacing w:line="480" w:lineRule="exact"/>
        <w:ind w:firstLine="487" w:firstLineChars="202"/>
        <w:rPr>
          <w:rFonts w:ascii="宋体" w:cs="宋体"/>
          <w:b/>
          <w:color w:val="auto"/>
          <w:sz w:val="24"/>
          <w:szCs w:val="24"/>
          <w:highlight w:val="none"/>
        </w:rPr>
      </w:pPr>
      <w:r>
        <w:rPr>
          <w:rFonts w:hint="eastAsia" w:ascii="宋体" w:hAnsi="宋体" w:cs="宋体"/>
          <w:b/>
          <w:bCs/>
          <w:color w:val="auto"/>
          <w:sz w:val="24"/>
          <w:szCs w:val="24"/>
          <w:highlight w:val="none"/>
        </w:rPr>
        <w:t>四、</w:t>
      </w:r>
      <w:r>
        <w:rPr>
          <w:rFonts w:hint="eastAsia" w:ascii="宋体" w:hAnsi="宋体" w:cs="宋体"/>
          <w:b/>
          <w:color w:val="auto"/>
          <w:sz w:val="24"/>
          <w:szCs w:val="24"/>
          <w:highlight w:val="none"/>
        </w:rPr>
        <w:t>响应文件的编制及装订</w:t>
      </w:r>
    </w:p>
    <w:p>
      <w:pPr>
        <w:spacing w:line="480" w:lineRule="exact"/>
        <w:ind w:firstLine="484" w:firstLineChars="202"/>
        <w:rPr>
          <w:rFonts w:ascii="宋体" w:cs="宋体"/>
          <w:color w:val="auto"/>
          <w:sz w:val="24"/>
          <w:szCs w:val="24"/>
          <w:highlight w:val="none"/>
        </w:rPr>
      </w:pPr>
      <w:r>
        <w:rPr>
          <w:rFonts w:hint="eastAsia" w:ascii="宋体" w:hAnsi="宋体" w:cs="宋体"/>
          <w:color w:val="auto"/>
          <w:sz w:val="24"/>
          <w:szCs w:val="24"/>
          <w:highlight w:val="none"/>
        </w:rPr>
        <w:t>供应商按磋商文件要求编写响应文件，并牢固装订成册。</w:t>
      </w:r>
      <w:r>
        <w:rPr>
          <w:rFonts w:hint="eastAsia" w:ascii="宋体" w:hAnsi="宋体" w:cs="宋体"/>
          <w:b/>
          <w:color w:val="auto"/>
          <w:sz w:val="24"/>
          <w:szCs w:val="24"/>
          <w:highlight w:val="none"/>
        </w:rPr>
        <w:t>响应文件均需采用</w:t>
      </w:r>
      <w:r>
        <w:rPr>
          <w:rFonts w:ascii="宋体" w:hAnsi="宋体" w:cs="宋体"/>
          <w:b/>
          <w:color w:val="auto"/>
          <w:sz w:val="24"/>
          <w:szCs w:val="24"/>
          <w:highlight w:val="none"/>
        </w:rPr>
        <w:t>A4</w:t>
      </w:r>
      <w:r>
        <w:rPr>
          <w:rFonts w:hint="eastAsia" w:ascii="宋体" w:hAnsi="宋体" w:cs="宋体"/>
          <w:b/>
          <w:color w:val="auto"/>
          <w:sz w:val="24"/>
          <w:szCs w:val="24"/>
          <w:highlight w:val="none"/>
        </w:rPr>
        <w:t>纸（图纸等除外）</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不要</w:t>
      </w:r>
      <w:r>
        <w:rPr>
          <w:rFonts w:hint="eastAsia" w:ascii="宋体" w:hAnsi="宋体" w:cs="宋体"/>
          <w:color w:val="auto"/>
          <w:sz w:val="24"/>
          <w:szCs w:val="24"/>
          <w:highlight w:val="none"/>
        </w:rPr>
        <w:t>使用活页夹、拉杆夹、文件夹、塑料方便式书脊（插入式或穿孔式）装订。响应文件不得行间插字、涂改、增删，如修改错漏处，须经响应文件签署人签字并加盖公章。</w:t>
      </w:r>
    </w:p>
    <w:p>
      <w:pPr>
        <w:snapToGrid w:val="0"/>
        <w:spacing w:line="480" w:lineRule="exact"/>
        <w:ind w:firstLine="482" w:firstLineChars="200"/>
        <w:outlineLvl w:val="1"/>
        <w:rPr>
          <w:rFonts w:ascii="宋体" w:cs="宋体"/>
          <w:b/>
          <w:bCs/>
          <w:color w:val="auto"/>
          <w:sz w:val="24"/>
          <w:szCs w:val="24"/>
          <w:highlight w:val="none"/>
        </w:rPr>
      </w:pPr>
      <w:r>
        <w:rPr>
          <w:rFonts w:hint="eastAsia" w:ascii="宋体" w:hAnsi="宋体" w:cs="宋体"/>
          <w:b/>
          <w:bCs/>
          <w:color w:val="auto"/>
          <w:sz w:val="24"/>
          <w:szCs w:val="24"/>
          <w:highlight w:val="none"/>
        </w:rPr>
        <w:t>五、响应文件的份数和签署</w:t>
      </w:r>
    </w:p>
    <w:p>
      <w:pPr>
        <w:spacing w:line="480" w:lineRule="exact"/>
        <w:ind w:firstLine="484" w:firstLineChars="202"/>
        <w:rPr>
          <w:rFonts w:ascii="宋体"/>
          <w:color w:val="auto"/>
          <w:sz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、响应文件由：</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资格审查文件、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技术响应文件、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3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商务报价响应文件，共</w:t>
      </w:r>
      <w:r>
        <w:rPr>
          <w:rFonts w:ascii="宋体" w:hAnsi="宋体" w:cs="宋体"/>
          <w:color w:val="auto"/>
          <w:sz w:val="24"/>
          <w:szCs w:val="24"/>
          <w:highlight w:val="none"/>
        </w:rPr>
        <w:t>3</w:t>
      </w:r>
      <w:r>
        <w:rPr>
          <w:rFonts w:hint="eastAsia" w:ascii="宋体" w:hAnsi="宋体" w:cs="宋体"/>
          <w:color w:val="auto"/>
          <w:sz w:val="24"/>
          <w:szCs w:val="24"/>
          <w:highlight w:val="none"/>
        </w:rPr>
        <w:t>部分组成。</w:t>
      </w:r>
      <w:r>
        <w:rPr>
          <w:rFonts w:hint="eastAsia" w:ascii="宋体" w:hAnsi="宋体" w:cs="宋体"/>
          <w:b/>
          <w:bCs/>
          <w:color w:val="auto"/>
          <w:sz w:val="24"/>
          <w:szCs w:val="24"/>
          <w:highlight w:val="none"/>
        </w:rPr>
        <w:t>其中资格审查文件、技术响应文件、商务报价响应文件须分别密封。</w:t>
      </w:r>
      <w:r>
        <w:rPr>
          <w:rFonts w:hint="eastAsia" w:ascii="宋体" w:hAnsi="宋体"/>
          <w:b/>
          <w:color w:val="auto"/>
          <w:sz w:val="24"/>
          <w:highlight w:val="none"/>
        </w:rPr>
        <w:t>特别提示：“商务报价响应文件”必须单独装订和封装，不得出现在“资格审查文件”和“技术响应文件”之中。</w:t>
      </w:r>
    </w:p>
    <w:p>
      <w:pPr>
        <w:snapToGrid w:val="0"/>
        <w:spacing w:line="480" w:lineRule="exact"/>
        <w:ind w:firstLine="482" w:firstLineChars="200"/>
        <w:rPr>
          <w:rFonts w:ascii="宋体" w:cs="宋体"/>
          <w:b/>
          <w:bCs/>
          <w:color w:val="auto"/>
          <w:sz w:val="24"/>
          <w:szCs w:val="24"/>
          <w:highlight w:val="none"/>
          <w:u w:val="singl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、响应文件均为一式叁份，其中“正本”壹份和“副本”贰份。</w:t>
      </w:r>
    </w:p>
    <w:p>
      <w:pPr>
        <w:snapToGrid w:val="0"/>
        <w:spacing w:line="480" w:lineRule="exact"/>
        <w:ind w:firstLine="472" w:firstLineChars="196"/>
        <w:rPr>
          <w:rFonts w:ascii="宋体" w:cs="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、在每份响应文件上要明确标注项目名称、对应的响应文件名称、供应商的全称及日期，“正本”“副本”字样。“正本”和“副本”若有差异，概以“正本”为准。</w:t>
      </w:r>
    </w:p>
    <w:p>
      <w:pPr>
        <w:snapToGrid w:val="0"/>
        <w:spacing w:line="480" w:lineRule="exact"/>
        <w:ind w:firstLine="472" w:firstLineChars="196"/>
        <w:rPr>
          <w:rFonts w:ascii="宋体" w:cs="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、供应商可将响应文件正副本统一密封或分别密封，如正本和副本分别密封的，应在封袋上标明正、副本字样。</w:t>
      </w:r>
    </w:p>
    <w:p>
      <w:pPr>
        <w:snapToGrid w:val="0"/>
        <w:spacing w:line="480" w:lineRule="exact"/>
        <w:ind w:firstLine="472" w:firstLineChars="196"/>
        <w:rPr>
          <w:rFonts w:ascii="宋体" w:cs="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、响应文件中的所有“正本”，其正文内容须按磋商文件要求由供应商法定代表人或被授权人签字（或盖章）并加盖单位公章。“副本”可复印，但须加盖单位公章。</w:t>
      </w:r>
    </w:p>
    <w:p>
      <w:pPr>
        <w:snapToGrid w:val="0"/>
        <w:spacing w:line="480" w:lineRule="exact"/>
        <w:ind w:firstLine="472" w:firstLineChars="196"/>
        <w:rPr>
          <w:rFonts w:ascii="宋体" w:cs="宋体"/>
          <w:b/>
          <w:bCs/>
          <w:color w:val="auto"/>
          <w:sz w:val="24"/>
          <w:szCs w:val="24"/>
          <w:highlight w:val="none"/>
        </w:rPr>
      </w:pPr>
      <w:r>
        <w:rPr>
          <w:rFonts w:hint="eastAsia" w:ascii="宋体" w:hAnsi="宋体" w:cs="宋体"/>
          <w:b/>
          <w:bCs/>
          <w:color w:val="auto"/>
          <w:sz w:val="24"/>
          <w:szCs w:val="24"/>
          <w:highlight w:val="none"/>
        </w:rPr>
        <w:t>六、响应文件的密封及标记</w:t>
      </w:r>
    </w:p>
    <w:p>
      <w:pPr>
        <w:snapToGrid w:val="0"/>
        <w:spacing w:line="480" w:lineRule="exact"/>
        <w:ind w:firstLine="480" w:firstLineChars="200"/>
        <w:rPr>
          <w:rFonts w:asci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、供应商须将本项目响应文件：</w:t>
      </w:r>
      <w:r>
        <w:rPr>
          <w:rFonts w:hint="eastAsia" w:ascii="宋体" w:hAnsi="宋体" w:cs="宋体"/>
          <w:b/>
          <w:bCs/>
          <w:color w:val="auto"/>
          <w:sz w:val="24"/>
          <w:szCs w:val="24"/>
          <w:highlight w:val="none"/>
        </w:rPr>
        <w:t>资格审查文件、技术响应文件、商务报价响应文件</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w:t>
      </w:r>
    </w:p>
    <w:p>
      <w:pPr>
        <w:snapToGrid w:val="0"/>
        <w:spacing w:line="48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、密封后，应在每一密封的响应文件上明确标注磋商项目名称、响应文件各自对应的名称、供应商的全称及日期。</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、在边缝处加盖供应商公章或骑缝签字。</w:t>
      </w:r>
    </w:p>
    <w:p>
      <w:pPr>
        <w:snapToGrid w:val="0"/>
        <w:spacing w:line="480" w:lineRule="exact"/>
        <w:ind w:firstLine="482" w:firstLineChars="200"/>
        <w:rPr>
          <w:rFonts w:ascii="宋体" w:cs="宋体"/>
          <w:b/>
          <w:color w:val="auto"/>
          <w:sz w:val="24"/>
          <w:szCs w:val="24"/>
          <w:highlight w:val="none"/>
        </w:rPr>
      </w:pPr>
      <w:r>
        <w:rPr>
          <w:rFonts w:hint="eastAsia" w:ascii="宋体" w:hAnsi="宋体" w:cs="宋体"/>
          <w:b/>
          <w:color w:val="auto"/>
          <w:sz w:val="24"/>
          <w:szCs w:val="24"/>
          <w:highlight w:val="none"/>
        </w:rPr>
        <w:t>【特别提醒】：</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响应文件中的</w:t>
      </w:r>
      <w:r>
        <w:rPr>
          <w:rFonts w:hint="eastAsia" w:ascii="宋体" w:hAnsi="宋体" w:cs="宋体"/>
          <w:b/>
          <w:bCs/>
          <w:color w:val="auto"/>
          <w:sz w:val="24"/>
          <w:szCs w:val="24"/>
          <w:highlight w:val="none"/>
        </w:rPr>
        <w:t>资格审查文件、技术响应文件</w:t>
      </w:r>
      <w:r>
        <w:rPr>
          <w:rFonts w:hint="eastAsia" w:ascii="宋体" w:hAnsi="宋体" w:cs="宋体"/>
          <w:color w:val="auto"/>
          <w:sz w:val="24"/>
          <w:szCs w:val="24"/>
          <w:highlight w:val="none"/>
        </w:rPr>
        <w:t>的“正本”或“副本”中，均不得含有商务报价响应文件中报价表（报价单）内的任何项目价格，否则作无效响应处理。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开标程序顺利进行后，所有投标文件都将作为档案保存，不论成交与否，代理机构均不退回（未拆封的除外）。</w:t>
      </w:r>
    </w:p>
    <w:p>
      <w:pPr>
        <w:snapToGrid w:val="0"/>
        <w:spacing w:line="480" w:lineRule="exact"/>
        <w:ind w:firstLine="496" w:firstLineChars="206"/>
        <w:outlineLvl w:val="1"/>
        <w:rPr>
          <w:rFonts w:ascii="宋体" w:cs="宋体"/>
          <w:b/>
          <w:bCs/>
          <w:color w:val="auto"/>
          <w:sz w:val="24"/>
          <w:szCs w:val="24"/>
          <w:highlight w:val="none"/>
        </w:rPr>
      </w:pPr>
      <w:r>
        <w:rPr>
          <w:rFonts w:hint="eastAsia" w:ascii="宋体" w:hAnsi="宋体" w:cs="宋体"/>
          <w:b/>
          <w:bCs/>
          <w:color w:val="auto"/>
          <w:sz w:val="24"/>
          <w:szCs w:val="24"/>
          <w:highlight w:val="none"/>
        </w:rPr>
        <w:t>七、磋商报价</w:t>
      </w:r>
    </w:p>
    <w:p>
      <w:pPr>
        <w:snapToGrid w:val="0"/>
        <w:spacing w:line="480" w:lineRule="exact"/>
        <w:ind w:firstLine="494" w:firstLineChars="206"/>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、本项目不接受任何有选择的报价。</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2、磋商报价均以人民币为报价的币种。</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3、磋商报价表必须加盖单位公章且必须经法定代表人或被授权人签字或盖章。报价表中的大写金额与小写金额、总价金额与按单价汇总金额，若有差异，将按下列条款执行：</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（1）投标文件中开标一览表（报价表）内容与投标文件中相应内容不一致的，以开标一览表（报价表）为准；</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（2）大写金额和小写金额不一致的，以大写金额为准；</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（3）单价金额小数点或者百分比有明显错位的，以开标一览表的总价为准，并修改单价；</w:t>
      </w:r>
    </w:p>
    <w:p>
      <w:pPr>
        <w:snapToGrid w:val="0"/>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pPr>
        <w:snapToGrid w:val="0"/>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（5）同时出现两种以上不一致的，按照前款规定的顺序修正。修正后的报价投标供应商确认后产生约束力，投标供应商不确认的，其投标无效。</w:t>
      </w:r>
    </w:p>
    <w:p>
      <w:pPr>
        <w:snapToGrid w:val="0"/>
        <w:spacing w:line="520" w:lineRule="exact"/>
        <w:ind w:firstLine="494" w:firstLineChars="20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采用综合单价报价，供应商应按采购人提供的《项目需求》中列出的要求填报综合单价和合价。每种货物或服务只允许有一个报价。任何有选择的报价将不予接受。供应商未填综合单价或合价的货物或服务，在实施后，采购人将不予以支付任何额外费用，并视为该货物或服务的费用已包括在其他有价款的综合单价或合价内。</w:t>
      </w:r>
    </w:p>
    <w:p>
      <w:pPr>
        <w:snapToGrid w:val="0"/>
        <w:spacing w:line="520" w:lineRule="exact"/>
        <w:ind w:firstLine="494" w:firstLineChars="2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投标报价包括：项目从实施到提交最终成果并获验收确认通过的所有费用，其中包含完成本项目所需的人工、</w:t>
      </w:r>
      <w:r>
        <w:rPr>
          <w:rFonts w:hint="eastAsia" w:ascii="宋体" w:hAnsi="宋体" w:eastAsia="宋体" w:cs="宋体"/>
          <w:color w:val="auto"/>
          <w:sz w:val="24"/>
          <w:szCs w:val="24"/>
          <w:highlight w:val="none"/>
          <w:lang w:val="en-US" w:eastAsia="zh-CN"/>
        </w:rPr>
        <w:t>通讯和专用工具费用、</w:t>
      </w:r>
      <w:r>
        <w:rPr>
          <w:rFonts w:hint="eastAsia" w:ascii="宋体" w:hAnsi="宋体" w:eastAsia="宋体" w:cs="宋体"/>
          <w:color w:val="auto"/>
          <w:sz w:val="24"/>
          <w:szCs w:val="24"/>
          <w:highlight w:val="none"/>
        </w:rPr>
        <w:t>调研费、</w:t>
      </w:r>
      <w:r>
        <w:rPr>
          <w:rFonts w:hint="eastAsia" w:ascii="宋体" w:hAnsi="宋体" w:eastAsia="宋体" w:cs="宋体"/>
          <w:color w:val="auto"/>
          <w:sz w:val="24"/>
          <w:szCs w:val="24"/>
          <w:highlight w:val="none"/>
          <w:lang w:val="en-US" w:eastAsia="zh-CN"/>
        </w:rPr>
        <w:t>、差旅费、专家服务费</w:t>
      </w:r>
      <w:r>
        <w:rPr>
          <w:rFonts w:hint="eastAsia" w:ascii="宋体" w:hAnsi="宋体" w:eastAsia="宋体" w:cs="宋体"/>
          <w:color w:val="auto"/>
          <w:sz w:val="24"/>
          <w:szCs w:val="24"/>
          <w:highlight w:val="none"/>
        </w:rPr>
        <w:t>税费、企业管理费、合理利润、为完成本项目所必须的其他辅助工作的相关费用及响应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文件要求等一切费用，即从项目招标到最终成果提交获得验收通过前的所有费用。</w:t>
      </w:r>
    </w:p>
    <w:p>
      <w:pPr>
        <w:snapToGrid w:val="0"/>
        <w:spacing w:line="520" w:lineRule="exact"/>
        <w:ind w:firstLine="494" w:firstLineChars="2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5、竞争性磋商的最终报价为成交价，同时，成交供应商的成交价在合同实施期间不因市场变化因素而变动。</w:t>
      </w:r>
    </w:p>
    <w:p>
      <w:pPr>
        <w:snapToGrid w:val="0"/>
        <w:spacing w:line="520" w:lineRule="exact"/>
        <w:ind w:firstLine="494" w:firstLineChars="2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6、最低的磋商报价是成交的重要条件，但不是成交的唯一条件。</w:t>
      </w:r>
    </w:p>
    <w:p>
      <w:pPr>
        <w:snapToGrid w:val="0"/>
        <w:spacing w:line="520" w:lineRule="exact"/>
        <w:ind w:firstLine="494" w:firstLineChars="206"/>
        <w:rPr>
          <w:rFonts w:ascii="宋体" w:hAnsi="宋体" w:cs="宋体"/>
          <w:color w:val="auto"/>
          <w:sz w:val="24"/>
          <w:szCs w:val="24"/>
          <w:highlight w:val="none"/>
        </w:rPr>
      </w:pPr>
      <w:r>
        <w:rPr>
          <w:rFonts w:hint="eastAsia" w:ascii="宋体" w:hAnsi="宋体" w:eastAsia="宋体" w:cs="宋体"/>
          <w:color w:val="auto"/>
          <w:sz w:val="24"/>
          <w:szCs w:val="24"/>
          <w:highlight w:val="none"/>
        </w:rPr>
        <w:t>7、本项目投标供应商独立承担用人风险，自行制订防范用人风险方案。投标供应商自行建立风险管理调控机制，对意</w:t>
      </w:r>
      <w:r>
        <w:rPr>
          <w:rFonts w:hint="eastAsia" w:ascii="宋体" w:hAnsi="宋体" w:cs="宋体"/>
          <w:color w:val="auto"/>
          <w:sz w:val="24"/>
          <w:szCs w:val="24"/>
          <w:highlight w:val="none"/>
        </w:rPr>
        <w:t>外伤害或工伤等风险充分预估，报价时自行考虑，一旦出现上述问题，采购方不承担任何连带赔偿责任。</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8、投标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pPr>
        <w:snapToGrid w:val="0"/>
        <w:spacing w:line="480" w:lineRule="exact"/>
        <w:ind w:firstLine="496" w:firstLineChars="206"/>
        <w:outlineLvl w:val="1"/>
        <w:rPr>
          <w:rFonts w:ascii="宋体" w:cs="宋体"/>
          <w:b/>
          <w:bCs/>
          <w:color w:val="auto"/>
          <w:sz w:val="24"/>
          <w:szCs w:val="24"/>
          <w:highlight w:val="none"/>
        </w:rPr>
      </w:pPr>
      <w:r>
        <w:rPr>
          <w:rFonts w:hint="eastAsia" w:ascii="宋体" w:hAnsi="宋体" w:cs="宋体"/>
          <w:b/>
          <w:bCs/>
          <w:color w:val="auto"/>
          <w:sz w:val="24"/>
          <w:szCs w:val="24"/>
          <w:highlight w:val="none"/>
        </w:rPr>
        <w:t>八、联合体参与磋商</w:t>
      </w:r>
    </w:p>
    <w:p>
      <w:pPr>
        <w:snapToGrid w:val="0"/>
        <w:spacing w:line="480" w:lineRule="exact"/>
        <w:ind w:firstLine="470" w:firstLineChars="196"/>
        <w:outlineLvl w:val="1"/>
        <w:rPr>
          <w:rFonts w:ascii="宋体" w:cs="宋体"/>
          <w:color w:val="auto"/>
          <w:sz w:val="24"/>
          <w:szCs w:val="24"/>
          <w:highlight w:val="none"/>
        </w:rPr>
      </w:pPr>
      <w:r>
        <w:rPr>
          <w:rFonts w:hint="eastAsia" w:ascii="宋体" w:hAnsi="宋体" w:cs="宋体"/>
          <w:color w:val="auto"/>
          <w:sz w:val="24"/>
          <w:szCs w:val="24"/>
          <w:highlight w:val="none"/>
        </w:rPr>
        <w:t>不接受任何形式的联合体参与本项目的竞争性磋商。</w:t>
      </w:r>
    </w:p>
    <w:p>
      <w:pPr>
        <w:snapToGrid w:val="0"/>
        <w:spacing w:line="480" w:lineRule="exact"/>
        <w:ind w:firstLine="482" w:firstLineChars="200"/>
        <w:outlineLvl w:val="1"/>
        <w:rPr>
          <w:rFonts w:ascii="宋体" w:cs="宋体"/>
          <w:color w:val="auto"/>
          <w:sz w:val="24"/>
          <w:szCs w:val="24"/>
          <w:highlight w:val="none"/>
        </w:rPr>
      </w:pPr>
      <w:r>
        <w:rPr>
          <w:rFonts w:hint="eastAsia" w:ascii="宋体" w:hAnsi="宋体" w:cs="宋体"/>
          <w:b/>
          <w:color w:val="auto"/>
          <w:sz w:val="24"/>
          <w:szCs w:val="24"/>
          <w:highlight w:val="none"/>
        </w:rPr>
        <w:t>九、</w:t>
      </w:r>
      <w:r>
        <w:rPr>
          <w:rFonts w:hint="eastAsia" w:ascii="宋体" w:hAnsi="宋体" w:cs="宋体"/>
          <w:b/>
          <w:bCs/>
          <w:color w:val="auto"/>
          <w:sz w:val="24"/>
          <w:szCs w:val="24"/>
          <w:highlight w:val="none"/>
        </w:rPr>
        <w:t>响应文件及</w:t>
      </w:r>
      <w:r>
        <w:rPr>
          <w:rFonts w:hint="eastAsia" w:ascii="宋体" w:hAnsi="宋体" w:cs="宋体"/>
          <w:b/>
          <w:color w:val="auto"/>
          <w:kern w:val="0"/>
          <w:sz w:val="24"/>
          <w:szCs w:val="24"/>
          <w:highlight w:val="none"/>
        </w:rPr>
        <w:t>磋商</w:t>
      </w:r>
      <w:r>
        <w:rPr>
          <w:rFonts w:hint="eastAsia" w:ascii="宋体" w:hAnsi="宋体" w:cs="宋体"/>
          <w:b/>
          <w:bCs/>
          <w:color w:val="auto"/>
          <w:sz w:val="24"/>
          <w:szCs w:val="24"/>
          <w:highlight w:val="none"/>
        </w:rPr>
        <w:t>费用</w:t>
      </w:r>
    </w:p>
    <w:p>
      <w:pPr>
        <w:snapToGrid w:val="0"/>
        <w:spacing w:line="480" w:lineRule="exact"/>
        <w:ind w:firstLine="460" w:firstLineChars="19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b/>
          <w:bCs/>
          <w:color w:val="auto"/>
          <w:sz w:val="24"/>
          <w:szCs w:val="24"/>
          <w:highlight w:val="none"/>
        </w:rPr>
        <w:t>本项目代理服务费由成交供应商支付。代理服务费按《招标代理服务收费管理暂行办法》[2002]1980号的规定标准</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折收费，不足</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000元，按</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000元收费。</w:t>
      </w:r>
      <w:r>
        <w:rPr>
          <w:rFonts w:hint="eastAsia" w:ascii="宋体" w:hAnsi="宋体" w:eastAsia="宋体" w:cs="宋体"/>
          <w:b/>
          <w:bCs/>
          <w:color w:val="auto"/>
          <w:sz w:val="24"/>
          <w:szCs w:val="24"/>
          <w:highlight w:val="none"/>
          <w:lang w:val="en-US" w:eastAsia="zh-CN"/>
        </w:rPr>
        <w:t xml:space="preserve"> </w:t>
      </w:r>
    </w:p>
    <w:p>
      <w:pPr>
        <w:snapToGrid w:val="0"/>
        <w:spacing w:line="480" w:lineRule="exact"/>
        <w:ind w:firstLine="460" w:firstLineChars="192"/>
        <w:rPr>
          <w:rFonts w:asci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、磋商程序顺利进行后，除供应商的原件可退回外，其余所有的响应文件都将作为档案保存，不论成交与否，代理机构均不退回（未拆封的除外）。</w:t>
      </w:r>
    </w:p>
    <w:p>
      <w:pPr>
        <w:snapToGrid w:val="0"/>
        <w:spacing w:line="480" w:lineRule="exact"/>
        <w:ind w:firstLine="460" w:firstLineChars="192"/>
        <w:rPr>
          <w:rFonts w:asci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、无论磋商过程和结果如何，参加项目磋商的供应商自行承担与本次项目磋商有关的全部费用。</w:t>
      </w:r>
    </w:p>
    <w:p>
      <w:pPr>
        <w:snapToGrid w:val="0"/>
        <w:spacing w:line="480" w:lineRule="exact"/>
        <w:ind w:firstLine="496" w:firstLineChars="206"/>
        <w:outlineLvl w:val="1"/>
        <w:rPr>
          <w:rFonts w:ascii="宋体" w:cs="宋体"/>
          <w:b/>
          <w:color w:val="auto"/>
          <w:sz w:val="24"/>
          <w:szCs w:val="24"/>
          <w:highlight w:val="none"/>
        </w:rPr>
      </w:pPr>
      <w:r>
        <w:rPr>
          <w:rFonts w:hint="eastAsia" w:ascii="宋体" w:hAnsi="宋体" w:cs="宋体"/>
          <w:b/>
          <w:color w:val="auto"/>
          <w:sz w:val="24"/>
          <w:szCs w:val="24"/>
          <w:highlight w:val="none"/>
        </w:rPr>
        <w:t>十、未尽事宜</w:t>
      </w:r>
    </w:p>
    <w:p>
      <w:pPr>
        <w:snapToGrid w:val="0"/>
        <w:spacing w:line="480" w:lineRule="exact"/>
        <w:ind w:firstLine="494" w:firstLineChars="206"/>
        <w:rPr>
          <w:rFonts w:ascii="宋体" w:cs="宋体"/>
          <w:color w:val="auto"/>
          <w:sz w:val="24"/>
          <w:szCs w:val="24"/>
          <w:highlight w:val="none"/>
        </w:rPr>
      </w:pP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中华人民共和国政府采购法</w:t>
      </w:r>
      <w:r>
        <w:rPr>
          <w:rFonts w:hint="eastAsia" w:ascii="宋体" w:hAnsi="宋体" w:cs="宋体"/>
          <w:color w:val="auto"/>
          <w:sz w:val="24"/>
          <w:szCs w:val="24"/>
          <w:highlight w:val="none"/>
        </w:rPr>
        <w:t>》及其他有关法律法规的规定执行。</w:t>
      </w:r>
    </w:p>
    <w:p>
      <w:pPr>
        <w:snapToGrid w:val="0"/>
        <w:spacing w:line="360" w:lineRule="auto"/>
        <w:rPr>
          <w:rFonts w:ascii="宋体" w:cs="宋体"/>
          <w:color w:val="auto"/>
          <w:sz w:val="24"/>
          <w:szCs w:val="24"/>
          <w:highlight w:val="none"/>
        </w:rPr>
        <w:sectPr>
          <w:type w:val="continuous"/>
          <w:pgSz w:w="11906" w:h="16838"/>
          <w:pgMar w:top="1134" w:right="1134" w:bottom="1134" w:left="1622" w:header="851" w:footer="992" w:gutter="0"/>
          <w:pgNumType w:fmt="numberInDash"/>
          <w:cols w:space="720" w:num="1"/>
          <w:docGrid w:linePitch="312" w:charSpace="0"/>
        </w:sectPr>
      </w:pPr>
      <w:bookmarkStart w:id="44" w:name="_Toc363573855"/>
    </w:p>
    <w:p>
      <w:pPr>
        <w:snapToGrid w:val="0"/>
        <w:spacing w:line="360" w:lineRule="auto"/>
        <w:jc w:val="center"/>
        <w:rPr>
          <w:rFonts w:ascii="宋体" w:cs="宋体"/>
          <w:b/>
          <w:i/>
          <w:color w:val="auto"/>
          <w:w w:val="80"/>
          <w:sz w:val="32"/>
          <w:szCs w:val="32"/>
          <w:highlight w:val="none"/>
        </w:rPr>
      </w:pPr>
      <w:r>
        <w:rPr>
          <w:rFonts w:hint="eastAsia" w:ascii="宋体" w:hAnsi="宋体" w:cs="宋体"/>
          <w:b/>
          <w:color w:val="auto"/>
          <w:w w:val="80"/>
          <w:sz w:val="44"/>
          <w:szCs w:val="44"/>
          <w:highlight w:val="none"/>
        </w:rPr>
        <w:t>第三章</w:t>
      </w:r>
      <w:r>
        <w:rPr>
          <w:rFonts w:ascii="宋体" w:hAnsi="宋体" w:cs="宋体"/>
          <w:b/>
          <w:color w:val="auto"/>
          <w:w w:val="80"/>
          <w:sz w:val="44"/>
          <w:szCs w:val="44"/>
          <w:highlight w:val="none"/>
        </w:rPr>
        <w:t xml:space="preserve">  </w:t>
      </w:r>
      <w:bookmarkEnd w:id="34"/>
      <w:bookmarkEnd w:id="35"/>
      <w:bookmarkEnd w:id="36"/>
      <w:bookmarkEnd w:id="37"/>
      <w:bookmarkEnd w:id="38"/>
      <w:bookmarkEnd w:id="39"/>
      <w:bookmarkEnd w:id="40"/>
      <w:bookmarkEnd w:id="41"/>
      <w:bookmarkEnd w:id="42"/>
      <w:bookmarkEnd w:id="43"/>
      <w:r>
        <w:rPr>
          <w:rFonts w:hint="eastAsia" w:ascii="宋体" w:hAnsi="宋体" w:cs="宋体"/>
          <w:b/>
          <w:color w:val="auto"/>
          <w:w w:val="80"/>
          <w:sz w:val="44"/>
          <w:szCs w:val="44"/>
          <w:highlight w:val="none"/>
        </w:rPr>
        <w:t>项目需求</w:t>
      </w:r>
      <w:bookmarkEnd w:id="44"/>
    </w:p>
    <w:p>
      <w:pPr>
        <w:spacing w:line="440" w:lineRule="exact"/>
        <w:ind w:left="-210" w:leftChars="-100" w:firstLine="520" w:firstLineChars="216"/>
        <w:rPr>
          <w:rFonts w:ascii="宋体" w:cs="宋体"/>
          <w:color w:val="auto"/>
          <w:kern w:val="0"/>
          <w:sz w:val="24"/>
          <w:szCs w:val="24"/>
          <w:highlight w:val="none"/>
          <w:lang w:val="zh-CN"/>
        </w:rPr>
      </w:pPr>
      <w:bookmarkStart w:id="45" w:name="_Toc94544746"/>
      <w:bookmarkStart w:id="46" w:name="_Toc11500282"/>
      <w:bookmarkStart w:id="47" w:name="_Toc521201599"/>
      <w:bookmarkStart w:id="48" w:name="_Toc521203420"/>
      <w:bookmarkStart w:id="49" w:name="_Toc13803483"/>
      <w:bookmarkStart w:id="50" w:name="_Toc94544872"/>
      <w:bookmarkStart w:id="51" w:name="_Toc11554641"/>
      <w:bookmarkStart w:id="52" w:name="_Toc94585342"/>
      <w:bookmarkStart w:id="53" w:name="_Toc11499586"/>
      <w:bookmarkStart w:id="54" w:name="_Toc8895741"/>
      <w:bookmarkStart w:id="55" w:name="_Toc12670505"/>
      <w:bookmarkStart w:id="56" w:name="_Toc363573856"/>
      <w:r>
        <w:rPr>
          <w:rFonts w:hint="eastAsia" w:ascii="宋体" w:hAnsi="宋体" w:cs="宋体"/>
          <w:b/>
          <w:color w:val="auto"/>
          <w:sz w:val="24"/>
          <w:szCs w:val="24"/>
          <w:highlight w:val="none"/>
        </w:rPr>
        <w:t>特别提醒：</w:t>
      </w:r>
      <w:r>
        <w:rPr>
          <w:rFonts w:hint="eastAsia" w:ascii="宋体" w:hAnsi="宋体" w:cs="宋体"/>
          <w:b/>
          <w:color w:val="auto"/>
          <w:kern w:val="0"/>
          <w:sz w:val="24"/>
          <w:szCs w:val="24"/>
          <w:highlight w:val="none"/>
          <w:lang w:val="zh-CN"/>
        </w:rPr>
        <w:t>请供应商制作投标响应文件时仔细研究项目需求说明。</w:t>
      </w:r>
      <w:r>
        <w:rPr>
          <w:rFonts w:hint="eastAsia" w:ascii="宋体" w:hAnsi="宋体" w:cs="宋体"/>
          <w:color w:val="auto"/>
          <w:kern w:val="0"/>
          <w:sz w:val="24"/>
          <w:szCs w:val="24"/>
          <w:highlight w:val="none"/>
          <w:lang w:val="zh-CN"/>
        </w:rPr>
        <w:t>供应商不能简单照搬照抄采购单位项目需求说明中的技术要求，必须作实事求是的响应。如照搬照抄项目需求说明中的技术要求，</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zh-CN"/>
        </w:rPr>
        <w:t>后供应商在同采购单位签订合同和履约环节中不得提出异议，一切后果和损失由</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zh-CN"/>
        </w:rPr>
        <w:t>供应商承担。如供应商提供的货物和服务同采购单位提出的项目需求说明中的技术要求不同的，必须在《技术条款响应一览表》上明示，如不明示的视同完全响应。</w:t>
      </w:r>
    </w:p>
    <w:p>
      <w:pPr>
        <w:keepNext w:val="0"/>
        <w:keepLines w:val="0"/>
        <w:pageBreakBefore w:val="0"/>
        <w:widowControl w:val="0"/>
        <w:kinsoku/>
        <w:wordWrap/>
        <w:overflowPunct/>
        <w:topLinePunct w:val="0"/>
        <w:autoSpaceDE/>
        <w:autoSpaceDN/>
        <w:bidi w:val="0"/>
        <w:adjustRightInd/>
        <w:spacing w:after="120" w:line="360" w:lineRule="auto"/>
        <w:textAlignment w:val="auto"/>
        <w:rPr>
          <w:color w:val="auto"/>
          <w:sz w:val="24"/>
          <w:szCs w:val="24"/>
          <w:highlight w:val="none"/>
        </w:rPr>
      </w:pPr>
    </w:p>
    <w:p>
      <w:pPr>
        <w:numPr>
          <w:ilvl w:val="0"/>
          <w:numId w:val="0"/>
        </w:numPr>
        <w:ind w:left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一、本项目测评范围</w:t>
      </w:r>
    </w:p>
    <w:tbl>
      <w:tblPr>
        <w:tblStyle w:val="52"/>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977"/>
        <w:gridCol w:w="135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8"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4977"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Hans"/>
              </w:rPr>
              <w:t>服务内容</w:t>
            </w:r>
          </w:p>
        </w:tc>
        <w:tc>
          <w:tcPr>
            <w:tcW w:w="135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备案情况</w:t>
            </w:r>
          </w:p>
        </w:tc>
        <w:tc>
          <w:tcPr>
            <w:tcW w:w="89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8"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4977" w:type="dxa"/>
            <w:vAlign w:val="center"/>
          </w:tcPr>
          <w:p>
            <w:pPr>
              <w:spacing w:line="360" w:lineRule="auto"/>
              <w:rPr>
                <w:rFonts w:hint="eastAsia"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南通市第三人民医院集成平台系统</w:t>
            </w:r>
            <w:r>
              <w:rPr>
                <w:rFonts w:hint="default"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Hans"/>
              </w:rPr>
              <w:t>三级</w:t>
            </w:r>
            <w:r>
              <w:rPr>
                <w:rFonts w:hint="default" w:asciiTheme="minorEastAsia" w:hAnsiTheme="minorEastAsia" w:eastAsiaTheme="minorEastAsia" w:cstheme="minorEastAsia"/>
                <w:color w:val="auto"/>
                <w:sz w:val="24"/>
                <w:szCs w:val="24"/>
                <w:lang w:eastAsia="zh-CN"/>
              </w:rPr>
              <w:t>）、</w:t>
            </w:r>
            <w:r>
              <w:rPr>
                <w:rFonts w:hint="default" w:asciiTheme="minorEastAsia" w:hAnsiTheme="minorEastAsia" w:eastAsiaTheme="minorEastAsia" w:cstheme="minorEastAsia"/>
                <w:color w:val="auto"/>
                <w:sz w:val="24"/>
                <w:szCs w:val="24"/>
                <w:lang w:val="en-US" w:eastAsia="zh-CN"/>
              </w:rPr>
              <w:t>南通市第三人民医院临床信息系统</w:t>
            </w:r>
            <w:r>
              <w:rPr>
                <w:rFonts w:hint="default"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Hans"/>
              </w:rPr>
              <w:t>三级</w:t>
            </w:r>
            <w:r>
              <w:rPr>
                <w:rFonts w:hint="default" w:asciiTheme="minorEastAsia" w:hAnsiTheme="minorEastAsia" w:eastAsiaTheme="minorEastAsia" w:cstheme="minorEastAsia"/>
                <w:color w:val="auto"/>
                <w:sz w:val="24"/>
                <w:szCs w:val="24"/>
                <w:lang w:eastAsia="zh-CN"/>
              </w:rPr>
              <w:t>）</w:t>
            </w:r>
          </w:p>
        </w:tc>
        <w:tc>
          <w:tcPr>
            <w:tcW w:w="135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三级</w:t>
            </w:r>
          </w:p>
        </w:tc>
        <w:tc>
          <w:tcPr>
            <w:tcW w:w="896" w:type="dxa"/>
            <w:vAlign w:val="center"/>
          </w:tcPr>
          <w:p>
            <w:pPr>
              <w:spacing w:line="360" w:lineRule="auto"/>
              <w:ind w:firstLine="480" w:firstLineChars="200"/>
              <w:rPr>
                <w:rFonts w:hint="eastAsia" w:asciiTheme="minorEastAsia" w:hAnsiTheme="minorEastAsia" w:eastAsiaTheme="minorEastAsia" w:cstheme="minorEastAsia"/>
                <w:color w:val="auto"/>
                <w:sz w:val="24"/>
                <w:szCs w:val="24"/>
                <w:lang w:val="en-US" w:eastAsia="zh-Hans"/>
              </w:rPr>
            </w:pPr>
          </w:p>
        </w:tc>
      </w:tr>
    </w:tbl>
    <w:p>
      <w:pPr>
        <w:numPr>
          <w:ilvl w:val="0"/>
          <w:numId w:val="0"/>
        </w:numPr>
        <w:ind w:leftChars="0"/>
        <w:rPr>
          <w:rFonts w:hint="eastAsia" w:ascii="宋体" w:hAnsi="宋体" w:cs="宋体"/>
          <w:b/>
          <w:bCs/>
          <w:sz w:val="24"/>
          <w:szCs w:val="24"/>
          <w:highlight w:val="none"/>
          <w:lang w:val="en-US" w:eastAsia="zh-CN"/>
        </w:rPr>
      </w:pPr>
    </w:p>
    <w:p>
      <w:pPr>
        <w:spacing w:before="156" w:beforeLines="50" w:after="156" w:afterLines="50" w:line="24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、测评内容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1、总体要求：</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A．完成上述系统安全等级测评工作，测评后经用户方确认，出具符合</w:t>
      </w:r>
      <w:r>
        <w:rPr>
          <w:rStyle w:val="122"/>
          <w:rFonts w:hint="eastAsia" w:asciiTheme="minorEastAsia" w:hAnsiTheme="minorEastAsia" w:eastAsiaTheme="minorEastAsia" w:cstheme="minorEastAsia"/>
          <w:b w:val="0"/>
          <w:color w:val="auto"/>
          <w:szCs w:val="24"/>
        </w:rPr>
        <w:t>网络安全等级保护</w:t>
      </w:r>
      <w:r>
        <w:rPr>
          <w:rFonts w:hint="eastAsia" w:asciiTheme="minorEastAsia" w:hAnsiTheme="minorEastAsia" w:eastAsiaTheme="minorEastAsia" w:cstheme="minorEastAsia"/>
          <w:color w:val="auto"/>
          <w:sz w:val="24"/>
          <w:szCs w:val="24"/>
        </w:rPr>
        <w:t>测评要求的测评报告；</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B．对上述系统不符合</w:t>
      </w:r>
      <w:r>
        <w:rPr>
          <w:rStyle w:val="122"/>
          <w:rFonts w:hint="eastAsia" w:asciiTheme="minorEastAsia" w:hAnsiTheme="minorEastAsia" w:eastAsiaTheme="minorEastAsia" w:cstheme="minorEastAsia"/>
          <w:b w:val="0"/>
          <w:color w:val="auto"/>
          <w:szCs w:val="24"/>
        </w:rPr>
        <w:t>网络安全等级保护</w:t>
      </w:r>
      <w:r>
        <w:rPr>
          <w:rFonts w:hint="eastAsia" w:asciiTheme="minorEastAsia" w:hAnsiTheme="minorEastAsia" w:eastAsiaTheme="minorEastAsia" w:cstheme="minorEastAsia"/>
          <w:color w:val="auto"/>
          <w:sz w:val="24"/>
          <w:szCs w:val="24"/>
        </w:rPr>
        <w:t>有关管理规范和技术标准的，提出可行性整改方案，提供相应的安全整改建议书。</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2、质量要求：</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A．等级测评及服务原则：符合性原则、标准性原则、规范性原则、可控性原则、整体性原则。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w:t>
      </w:r>
      <w:r>
        <w:rPr>
          <w:rStyle w:val="122"/>
          <w:rFonts w:hint="eastAsia" w:asciiTheme="minorEastAsia" w:hAnsiTheme="minorEastAsia" w:eastAsiaTheme="minorEastAsia" w:cstheme="minorEastAsia"/>
          <w:b w:val="0"/>
          <w:color w:val="auto"/>
          <w:szCs w:val="24"/>
        </w:rPr>
        <w:t>网络安全等级保护</w:t>
      </w:r>
      <w:r>
        <w:rPr>
          <w:rFonts w:hint="eastAsia" w:asciiTheme="minorEastAsia" w:hAnsiTheme="minorEastAsia" w:eastAsiaTheme="minorEastAsia" w:cstheme="minorEastAsia"/>
          <w:color w:val="auto"/>
          <w:sz w:val="24"/>
          <w:szCs w:val="24"/>
        </w:rPr>
        <w:t>定级及测评服务依据：</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《中华人民共和国网络安全法》</w:t>
      </w:r>
    </w:p>
    <w:p>
      <w:pPr>
        <w:spacing w:line="360" w:lineRule="auto"/>
        <w:ind w:firstLine="480" w:firstLineChars="200"/>
        <w:rPr>
          <w:rStyle w:val="122"/>
          <w:rFonts w:hint="eastAsia" w:asciiTheme="minorEastAsia" w:hAnsiTheme="minorEastAsia" w:eastAsiaTheme="minorEastAsia" w:cstheme="minorEastAsia"/>
          <w:b w:val="0"/>
          <w:color w:val="auto"/>
          <w:szCs w:val="24"/>
        </w:rPr>
      </w:pPr>
      <w:r>
        <w:rPr>
          <w:rStyle w:val="122"/>
          <w:rFonts w:hint="eastAsia" w:asciiTheme="minorEastAsia" w:hAnsiTheme="minorEastAsia" w:eastAsiaTheme="minorEastAsia" w:cstheme="minorEastAsia"/>
          <w:b w:val="0"/>
          <w:color w:val="auto"/>
          <w:szCs w:val="24"/>
        </w:rPr>
        <w:t>《GB/T22239-2019信息安全技术 网络安全等级保护基本要求》，</w:t>
      </w:r>
    </w:p>
    <w:p>
      <w:pPr>
        <w:spacing w:line="360" w:lineRule="auto"/>
        <w:ind w:firstLine="480" w:firstLineChars="200"/>
        <w:rPr>
          <w:rStyle w:val="122"/>
          <w:rFonts w:hint="eastAsia" w:asciiTheme="minorEastAsia" w:hAnsiTheme="minorEastAsia" w:eastAsiaTheme="minorEastAsia" w:cstheme="minorEastAsia"/>
          <w:b w:val="0"/>
          <w:color w:val="auto"/>
          <w:szCs w:val="24"/>
        </w:rPr>
      </w:pPr>
      <w:r>
        <w:rPr>
          <w:rStyle w:val="122"/>
          <w:rFonts w:hint="eastAsia" w:asciiTheme="minorEastAsia" w:hAnsiTheme="minorEastAsia" w:eastAsiaTheme="minorEastAsia" w:cstheme="minorEastAsia"/>
          <w:b w:val="0"/>
          <w:color w:val="auto"/>
          <w:szCs w:val="24"/>
        </w:rPr>
        <w:t>《GB/T28448-2019 信息安全技术 网络安全等级保护测评要求》，</w:t>
      </w:r>
    </w:p>
    <w:p>
      <w:pPr>
        <w:spacing w:line="360" w:lineRule="auto"/>
        <w:ind w:firstLine="480" w:firstLineChars="200"/>
        <w:rPr>
          <w:rStyle w:val="122"/>
          <w:rFonts w:hint="eastAsia" w:asciiTheme="minorEastAsia" w:hAnsiTheme="minorEastAsia" w:eastAsiaTheme="minorEastAsia" w:cstheme="minorEastAsia"/>
          <w:b w:val="0"/>
          <w:color w:val="auto"/>
          <w:szCs w:val="24"/>
        </w:rPr>
      </w:pPr>
      <w:r>
        <w:rPr>
          <w:rStyle w:val="122"/>
          <w:rFonts w:hint="eastAsia" w:asciiTheme="minorEastAsia" w:hAnsiTheme="minorEastAsia" w:eastAsiaTheme="minorEastAsia" w:cstheme="minorEastAsia"/>
          <w:b w:val="0"/>
          <w:color w:val="auto"/>
          <w:szCs w:val="24"/>
        </w:rPr>
        <w:t>《GB/T 28449-2018 信息安全技术 网络安全等级保护测评过程指南》，</w:t>
      </w:r>
    </w:p>
    <w:p>
      <w:pPr>
        <w:spacing w:line="360" w:lineRule="auto"/>
        <w:ind w:firstLine="480" w:firstLineChars="200"/>
        <w:rPr>
          <w:rStyle w:val="122"/>
          <w:rFonts w:hint="eastAsia" w:asciiTheme="minorEastAsia" w:hAnsiTheme="minorEastAsia" w:eastAsiaTheme="minorEastAsia" w:cstheme="minorEastAsia"/>
          <w:b w:val="0"/>
          <w:color w:val="auto"/>
          <w:szCs w:val="24"/>
        </w:rPr>
      </w:pPr>
      <w:r>
        <w:rPr>
          <w:rStyle w:val="122"/>
          <w:rFonts w:hint="eastAsia" w:asciiTheme="minorEastAsia" w:hAnsiTheme="minorEastAsia" w:eastAsiaTheme="minorEastAsia" w:cstheme="minorEastAsia"/>
          <w:b w:val="0"/>
          <w:color w:val="auto"/>
          <w:szCs w:val="24"/>
        </w:rPr>
        <w:t>《GB/T 25058-2019 信息安全技术 网络安全等级保护实施指南》。</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3、网络安全等级保护测评内容：</w:t>
      </w:r>
    </w:p>
    <w:p>
      <w:pPr>
        <w:spacing w:before="156" w:beforeLines="50" w:after="156" w:after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A．安全技术测评：包括安全物理环境、安全区域边界、安全通信网络、安全计算环境和安全管理中心五个方面的安全测评；</w:t>
      </w:r>
    </w:p>
    <w:p>
      <w:pPr>
        <w:spacing w:before="156" w:beforeLines="50" w:after="156" w:after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B．安全管理测评：安全管理机构、安全管理制度、安全管理人员、安全建设管理和安全运维管理五个方面的安全控制测评</w:t>
      </w:r>
    </w:p>
    <w:p>
      <w:pPr>
        <w:spacing w:before="156" w:beforeLines="50" w:after="156" w:after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4、提供整改咨询服务，根据所测系统的最终测评报告，对系统现状提出安全整改建议并协助整改工作，以期达到整改目的。</w:t>
      </w:r>
    </w:p>
    <w:p>
      <w:pPr>
        <w:spacing w:before="156" w:beforeLines="50" w:after="156" w:afterLines="50" w:line="24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、测评原则：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1、客观性和公正性原则：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测评人员应当没有偏见，在最小主观判断情形下，按照评估双方相互认可的评估方案，基于明确定义的测评方式和解释，实施评估活动。</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2、可重复性和可再现性原则：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3、连续性原则：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4、扩展性原则：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在评估过程结束后，信息安全测评过程要保持扩展性，从扩展的属性上进一步加强测评结束后采购方的安全管理有效性和可用性。</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5、保密原则：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在测评过程中，需严格遵循保密原则，双方签订保密协议，对服务过程中涉及到的任何用户信息未经允许不向其他任何第三方泄漏，以及不得利用这些信息损害采购方利益。</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6、互动原则：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在整个测评过程中，强调采购方的互动参与，每个阶段都能够及时根据采购方的要求和实际情况对测评的内容、方式做出相关调整，进而更好的进行风险评估工作。</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7、最小影响原则：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测评工作应该尽可能小地影响系统和网络的正常运行，不能对业务的正常运行产生明显的影响（包括系统性能明显下降、网络阻塞、服务中断等），如无法避免，则应做出说明。</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8、规范性原则：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网络安全等级保护测评服务的实施必须由专业的测评服务人员依照规范的操作流程进行，对操作过程和结果要有相应的记录，并提供完整的服务报告。</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9、质量保障原则：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在整个测评过程中，须特别重视项目质量管理。项目的实施将严格按照项目实施方案和流程进行，并由项目协调小组从中监督，控制项目的进度和质量。</w:t>
      </w:r>
    </w:p>
    <w:p>
      <w:pPr>
        <w:spacing w:before="156" w:beforeLines="50" w:after="156" w:afterLines="50" w:line="24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、测评人员和时限要求：</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1、测评驻场人员要求：本次测评至少需要1名高级测评师，1名中级测评师， 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2、测评时间要求：按照被测单位要求，合同签订完毕一周内启动测评工作。</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3、测评期限要求：签订合同后60天内完成网络安全等级保护测评并出具盖章报告，并完成备案。</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4、本项目不接受联合体投标。</w:t>
      </w:r>
    </w:p>
    <w:p>
      <w:pPr>
        <w:widowControl/>
        <w:spacing w:line="360" w:lineRule="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五</w:t>
      </w:r>
      <w:r>
        <w:rPr>
          <w:rFonts w:hint="eastAsia" w:asciiTheme="minorEastAsia" w:hAnsiTheme="minorEastAsia" w:eastAsiaTheme="minorEastAsia" w:cstheme="minorEastAsia"/>
          <w:b/>
          <w:bCs/>
          <w:color w:val="auto"/>
          <w:kern w:val="0"/>
          <w:sz w:val="24"/>
          <w:szCs w:val="24"/>
        </w:rPr>
        <w:t>、服务地点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采购方</w:t>
      </w:r>
      <w:r>
        <w:rPr>
          <w:rFonts w:hint="eastAsia" w:asciiTheme="minorEastAsia" w:hAnsiTheme="minorEastAsia" w:eastAsiaTheme="minorEastAsia" w:cstheme="minorEastAsia"/>
          <w:color w:val="auto"/>
          <w:kern w:val="0"/>
          <w:sz w:val="24"/>
          <w:szCs w:val="24"/>
        </w:rPr>
        <w:t>指定地点。</w:t>
      </w:r>
    </w:p>
    <w:p>
      <w:pPr>
        <w:widowControl/>
        <w:spacing w:line="360" w:lineRule="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六</w:t>
      </w:r>
      <w:r>
        <w:rPr>
          <w:rFonts w:hint="eastAsia" w:asciiTheme="minorEastAsia" w:hAnsiTheme="minorEastAsia" w:eastAsiaTheme="minorEastAsia" w:cstheme="minorEastAsia"/>
          <w:b/>
          <w:bCs/>
          <w:color w:val="auto"/>
          <w:kern w:val="0"/>
          <w:sz w:val="24"/>
          <w:szCs w:val="24"/>
        </w:rPr>
        <w:t>、付款时间和条件</w:t>
      </w:r>
    </w:p>
    <w:p>
      <w:pPr>
        <w:numPr>
          <w:ilvl w:val="0"/>
          <w:numId w:val="0"/>
        </w:numPr>
        <w:ind w:leftChars="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kern w:val="0"/>
          <w:sz w:val="24"/>
        </w:rPr>
        <w:t>本项目的测评费用,在提交测评报告的30个工作日内，由采购方一次性付清全款。</w:t>
      </w:r>
    </w:p>
    <w:p>
      <w:pPr>
        <w:snapToGrid w:val="0"/>
        <w:spacing w:line="480" w:lineRule="exact"/>
        <w:ind w:firstLine="707" w:firstLineChars="200"/>
        <w:jc w:val="center"/>
        <w:rPr>
          <w:rFonts w:ascii="宋体" w:cs="宋体"/>
          <w:b/>
          <w:color w:val="auto"/>
          <w:w w:val="80"/>
          <w:sz w:val="44"/>
          <w:szCs w:val="44"/>
          <w:highlight w:val="none"/>
        </w:rPr>
      </w:pPr>
      <w:r>
        <w:rPr>
          <w:rFonts w:hint="eastAsia" w:ascii="宋体" w:hAnsi="宋体" w:cs="宋体"/>
          <w:b/>
          <w:color w:val="auto"/>
          <w:w w:val="80"/>
          <w:sz w:val="44"/>
          <w:szCs w:val="44"/>
          <w:highlight w:val="none"/>
        </w:rPr>
        <w:br w:type="page"/>
      </w:r>
      <w:r>
        <w:rPr>
          <w:rFonts w:hint="eastAsia" w:ascii="宋体" w:hAnsi="宋体" w:cs="宋体"/>
          <w:b/>
          <w:color w:val="auto"/>
          <w:w w:val="80"/>
          <w:sz w:val="44"/>
          <w:szCs w:val="44"/>
          <w:highlight w:val="none"/>
        </w:rPr>
        <w:t>第四章</w:t>
      </w:r>
      <w:r>
        <w:rPr>
          <w:rFonts w:ascii="宋体" w:hAnsi="宋体" w:cs="宋体"/>
          <w:b/>
          <w:color w:val="auto"/>
          <w:w w:val="80"/>
          <w:sz w:val="44"/>
          <w:szCs w:val="44"/>
          <w:highlight w:val="none"/>
        </w:rPr>
        <w:t xml:space="preserve">  </w:t>
      </w:r>
      <w:bookmarkEnd w:id="45"/>
      <w:bookmarkEnd w:id="46"/>
      <w:bookmarkEnd w:id="47"/>
      <w:bookmarkEnd w:id="48"/>
      <w:bookmarkEnd w:id="49"/>
      <w:bookmarkEnd w:id="50"/>
      <w:bookmarkEnd w:id="51"/>
      <w:bookmarkEnd w:id="52"/>
      <w:bookmarkEnd w:id="53"/>
      <w:bookmarkEnd w:id="54"/>
      <w:bookmarkEnd w:id="55"/>
      <w:bookmarkStart w:id="57" w:name="_Toc43217893"/>
      <w:bookmarkStart w:id="58" w:name="_Toc38121794"/>
      <w:bookmarkStart w:id="59" w:name="_Toc182848996"/>
      <w:bookmarkStart w:id="60" w:name="_Toc37322565"/>
      <w:bookmarkStart w:id="61" w:name="_Toc85627670"/>
      <w:bookmarkStart w:id="62" w:name="_Toc94544747"/>
      <w:bookmarkStart w:id="63" w:name="_Toc94544873"/>
      <w:bookmarkStart w:id="64" w:name="_Toc8895742"/>
      <w:bookmarkStart w:id="65" w:name="_Toc11499587"/>
      <w:bookmarkStart w:id="66" w:name="_Toc11500283"/>
      <w:bookmarkStart w:id="67" w:name="_Toc11554642"/>
      <w:bookmarkStart w:id="68" w:name="_Toc12670506"/>
      <w:bookmarkStart w:id="69" w:name="_Toc13803484"/>
      <w:r>
        <w:rPr>
          <w:rFonts w:hint="eastAsia" w:ascii="宋体" w:hAnsi="宋体" w:cs="宋体"/>
          <w:b/>
          <w:color w:val="auto"/>
          <w:w w:val="80"/>
          <w:sz w:val="44"/>
          <w:szCs w:val="44"/>
          <w:highlight w:val="none"/>
        </w:rPr>
        <w:t>评审方法和程序</w:t>
      </w:r>
      <w:bookmarkEnd w:id="56"/>
    </w:p>
    <w:bookmarkEnd w:id="57"/>
    <w:bookmarkEnd w:id="58"/>
    <w:bookmarkEnd w:id="59"/>
    <w:bookmarkEnd w:id="60"/>
    <w:bookmarkEnd w:id="61"/>
    <w:p>
      <w:pPr>
        <w:snapToGrid w:val="0"/>
        <w:spacing w:line="480" w:lineRule="exact"/>
        <w:ind w:firstLine="482" w:firstLineChars="200"/>
        <w:outlineLvl w:val="1"/>
        <w:rPr>
          <w:rFonts w:ascii="宋体" w:cs="宋体"/>
          <w:b/>
          <w:color w:val="auto"/>
          <w:sz w:val="24"/>
          <w:szCs w:val="24"/>
          <w:highlight w:val="none"/>
        </w:rPr>
      </w:pPr>
      <w:bookmarkStart w:id="70" w:name="_Toc363573857"/>
      <w:bookmarkEnd w:id="70"/>
      <w:r>
        <w:rPr>
          <w:rFonts w:hint="eastAsia" w:ascii="宋体" w:hAnsi="宋体" w:cs="宋体"/>
          <w:b/>
          <w:color w:val="auto"/>
          <w:sz w:val="24"/>
          <w:szCs w:val="24"/>
          <w:highlight w:val="none"/>
        </w:rPr>
        <w:t>一、代理机构组织磋商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、本次竞争性磋商依据有关法规成立磋商小组。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、磋商小组的职责：</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）磋商小组成员在评审过程中发现供应商有行贿、提供虚假材料或者串通等违法行为的，应当及时向</w:t>
      </w:r>
      <w:r>
        <w:rPr>
          <w:rFonts w:hint="eastAsia" w:ascii="宋体" w:hAnsi="宋体" w:cs="宋体"/>
          <w:color w:val="auto"/>
          <w:sz w:val="24"/>
          <w:szCs w:val="24"/>
          <w:highlight w:val="none"/>
          <w:lang w:val="en-US" w:eastAsia="zh-CN"/>
        </w:rPr>
        <w:t>上级</w:t>
      </w:r>
      <w:r>
        <w:rPr>
          <w:rFonts w:hint="eastAsia" w:ascii="宋体" w:hAnsi="宋体" w:cs="宋体"/>
          <w:color w:val="auto"/>
          <w:sz w:val="24"/>
          <w:szCs w:val="24"/>
          <w:highlight w:val="none"/>
        </w:rPr>
        <w:t>部门报告</w:t>
      </w:r>
      <w:r>
        <w:rPr>
          <w:rFonts w:ascii="宋体" w:cs="宋体"/>
          <w:color w:val="auto"/>
          <w:sz w:val="24"/>
          <w:szCs w:val="24"/>
          <w:highlight w:val="none"/>
        </w:rPr>
        <w:t>,</w:t>
      </w:r>
      <w:r>
        <w:rPr>
          <w:rFonts w:hint="eastAsia" w:ascii="宋体" w:hAnsi="宋体" w:cs="宋体"/>
          <w:color w:val="auto"/>
          <w:sz w:val="24"/>
          <w:szCs w:val="24"/>
          <w:highlight w:val="none"/>
        </w:rPr>
        <w:t>并建议将其列入采购黑名单。</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）磋商小组成员在评审过程中受到非法干涉的，应当及时向监察部门举报。</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）配合采购单位答复供应商提出的质疑；配合</w:t>
      </w:r>
      <w:r>
        <w:rPr>
          <w:rFonts w:hint="eastAsia" w:ascii="宋体" w:hAnsi="宋体" w:cs="宋体"/>
          <w:color w:val="auto"/>
          <w:sz w:val="24"/>
          <w:szCs w:val="24"/>
          <w:highlight w:val="none"/>
          <w:lang w:val="en-US" w:eastAsia="zh-CN"/>
        </w:rPr>
        <w:t>上级</w:t>
      </w:r>
      <w:r>
        <w:rPr>
          <w:rFonts w:hint="eastAsia" w:ascii="宋体" w:hAnsi="宋体" w:cs="宋体"/>
          <w:color w:val="auto"/>
          <w:sz w:val="24"/>
          <w:szCs w:val="24"/>
          <w:highlight w:val="none"/>
        </w:rPr>
        <w:t>部门的投诉处理和监督检查工作。</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、评审有关记录由磋商小组成员签名，存档备查。</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、供应商的法定代表人或被授权人须持身份证准时参加磋商开标会。</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二、磋商的原则及方法</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、磋商小组依据相关法规，遵循“公开、公平、公正、择优、信用”的原则进行磋商评审。</w:t>
      </w:r>
    </w:p>
    <w:p>
      <w:pPr>
        <w:snapToGrid w:val="0"/>
        <w:spacing w:line="480" w:lineRule="exact"/>
        <w:ind w:firstLine="484" w:firstLineChars="202"/>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、磋商小组将独立对每个进入打分程序的有效投标供应商的响应文件的技术部分以打分的形式进行评审和评价。技术分是所有评委打分的算术平均值（计算结果均四舍五入保留两位小数）。</w:t>
      </w:r>
      <w:r>
        <w:rPr>
          <w:rFonts w:ascii="宋体" w:hAnsi="宋体" w:cs="宋体"/>
          <w:color w:val="auto"/>
          <w:sz w:val="24"/>
          <w:szCs w:val="24"/>
          <w:highlight w:val="none"/>
        </w:rPr>
        <w:t xml:space="preserve"> </w:t>
      </w:r>
    </w:p>
    <w:p>
      <w:pPr>
        <w:snapToGrid w:val="0"/>
        <w:spacing w:line="480" w:lineRule="exact"/>
        <w:ind w:firstLine="484" w:firstLineChars="202"/>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、磋商小组所有成员</w:t>
      </w:r>
      <w:r>
        <w:rPr>
          <w:rFonts w:hint="eastAsia" w:ascii="宋体" w:hAnsi="宋体" w:cs="宋体"/>
          <w:color w:val="auto"/>
          <w:sz w:val="24"/>
          <w:szCs w:val="24"/>
          <w:highlight w:val="none"/>
          <w:lang w:val="en-US" w:eastAsia="zh-CN"/>
        </w:rPr>
        <w:t>可</w:t>
      </w:r>
      <w:r>
        <w:rPr>
          <w:rFonts w:hint="eastAsia" w:ascii="宋体" w:hAnsi="宋体" w:cs="宋体"/>
          <w:color w:val="auto"/>
          <w:sz w:val="24"/>
          <w:szCs w:val="24"/>
          <w:highlight w:val="none"/>
        </w:rPr>
        <w:t>集中与单一供应商分别进行磋商，并给予所有参加磋商的供应商平等的磋商机会。</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、磋商文件不能详细列明采购标的的技术、服务要求，需经磋商由供应商提供最终设计方案或解决方案的，磋商结束后，磋商小组应当按照少数服从多数的原则投票推荐</w:t>
      </w:r>
      <w:r>
        <w:rPr>
          <w:rFonts w:ascii="宋体" w:hAnsi="宋体" w:cs="宋体"/>
          <w:color w:val="auto"/>
          <w:sz w:val="24"/>
          <w:szCs w:val="24"/>
          <w:highlight w:val="none"/>
        </w:rPr>
        <w:t>3</w:t>
      </w:r>
      <w:r>
        <w:rPr>
          <w:rFonts w:hint="eastAsia" w:ascii="宋体" w:hAnsi="宋体" w:cs="宋体"/>
          <w:color w:val="auto"/>
          <w:sz w:val="24"/>
          <w:szCs w:val="24"/>
          <w:highlight w:val="none"/>
        </w:rPr>
        <w:t>家以上供应商的设计方案或者解决方案，并要求其在规定时间内提交最后报价。</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、除非在磋商中磋商小组对采购单位需求内容作了调整增加，或对采购内容作了实质性变更，否则</w:t>
      </w:r>
      <w:r>
        <w:rPr>
          <w:rFonts w:hint="eastAsia" w:ascii="宋体" w:hAnsi="宋体" w:cs="宋体"/>
          <w:b/>
          <w:color w:val="auto"/>
          <w:sz w:val="24"/>
          <w:szCs w:val="24"/>
          <w:highlight w:val="none"/>
        </w:rPr>
        <w:t>采购单位不接受供应商高于自己前一轮的磋商报价</w:t>
      </w:r>
      <w:r>
        <w:rPr>
          <w:rFonts w:hint="eastAsia" w:ascii="宋体" w:hAnsi="宋体" w:cs="宋体"/>
          <w:color w:val="auto"/>
          <w:sz w:val="24"/>
          <w:szCs w:val="24"/>
          <w:highlight w:val="none"/>
        </w:rPr>
        <w:t>。</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、在磋商中，磋商的任何一方不得透露与磋商有关的其他响应磋商的供应商的技术资料、价格及其他信息。</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14</w:t>
      </w:r>
      <w:r>
        <w:rPr>
          <w:rFonts w:hint="eastAsia" w:ascii="宋体" w:hAnsi="宋体" w:cs="宋体"/>
          <w:color w:val="auto"/>
          <w:sz w:val="24"/>
          <w:szCs w:val="24"/>
          <w:highlight w:val="none"/>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三、评审步骤</w:t>
      </w:r>
    </w:p>
    <w:p>
      <w:pPr>
        <w:snapToGrid w:val="0"/>
        <w:spacing w:line="480" w:lineRule="exact"/>
        <w:ind w:firstLine="482" w:firstLineChars="200"/>
        <w:rPr>
          <w:rFonts w:asci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、评审步骤规定：</w:t>
      </w:r>
    </w:p>
    <w:p>
      <w:pPr>
        <w:snapToGrid w:val="0"/>
        <w:spacing w:line="480" w:lineRule="exact"/>
        <w:ind w:firstLine="482" w:firstLineChars="200"/>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本次资格审查采用资格后审，各投标供应商资格审查通过后方能进入技术标的开标。先开技术标，技术标打分结束后再开商务标。</w:t>
      </w:r>
    </w:p>
    <w:p>
      <w:pPr>
        <w:snapToGrid w:val="0"/>
        <w:spacing w:line="480" w:lineRule="exact"/>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rPr>
        <w:t>资格符合性评审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技术响应文件评审</w:t>
      </w:r>
      <w:r>
        <w:rPr>
          <w:rFonts w:ascii="宋体" w:hAnsi="宋体" w:cs="宋体"/>
          <w:color w:val="auto"/>
          <w:sz w:val="24"/>
          <w:szCs w:val="24"/>
          <w:highlight w:val="none"/>
        </w:rPr>
        <w:t>——</w:t>
      </w:r>
      <w:r>
        <w:rPr>
          <w:rFonts w:hint="eastAsia" w:ascii="宋体" w:hAnsi="宋体" w:cs="宋体"/>
          <w:color w:val="auto"/>
          <w:sz w:val="24"/>
          <w:szCs w:val="24"/>
          <w:highlight w:val="none"/>
        </w:rPr>
        <w:t>商务报价响应文件评审</w:t>
      </w:r>
      <w:r>
        <w:rPr>
          <w:rFonts w:ascii="宋体" w:hAnsi="宋体" w:cs="宋体"/>
          <w:color w:val="auto"/>
          <w:sz w:val="24"/>
          <w:szCs w:val="24"/>
          <w:highlight w:val="none"/>
        </w:rPr>
        <w:t>——</w:t>
      </w:r>
      <w:r>
        <w:rPr>
          <w:rFonts w:hint="eastAsia" w:ascii="宋体" w:hAnsi="宋体" w:cs="宋体"/>
          <w:color w:val="auto"/>
          <w:sz w:val="24"/>
          <w:szCs w:val="24"/>
          <w:highlight w:val="none"/>
        </w:rPr>
        <w:t>确定成交供应商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、在</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四、磋商评定结果的方法</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、评审时，磋商小组各成员应当独立对每个有效响应的文件进行评价、打分，然后汇总每个供应商每项评分因素的得分（计算结果均四舍五入保留两位小数）。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、本次项目磋商的技术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和商务报价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评审总分值为</w:t>
      </w:r>
      <w:r>
        <w:rPr>
          <w:rFonts w:ascii="宋体" w:hAnsi="宋体" w:cs="宋体"/>
          <w:color w:val="auto"/>
          <w:sz w:val="24"/>
          <w:szCs w:val="24"/>
          <w:highlight w:val="none"/>
        </w:rPr>
        <w:t>100</w:t>
      </w:r>
      <w:r>
        <w:rPr>
          <w:rFonts w:hint="eastAsia" w:ascii="宋体" w:hAnsi="宋体" w:cs="宋体"/>
          <w:color w:val="auto"/>
          <w:sz w:val="24"/>
          <w:szCs w:val="24"/>
          <w:highlight w:val="none"/>
        </w:rPr>
        <w:t>分。两部分评审因素比重如下：</w:t>
      </w:r>
      <w:r>
        <w:rPr>
          <w:rFonts w:ascii="宋体" w:hAnsi="宋体" w:cs="宋体"/>
          <w:color w:val="auto"/>
          <w:sz w:val="24"/>
          <w:szCs w:val="24"/>
          <w:highlight w:val="none"/>
        </w:rPr>
        <w:t xml:space="preserve"> </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分值占总分值的比重为</w:t>
      </w:r>
      <w:r>
        <w:rPr>
          <w:rFonts w:hint="eastAsia" w:ascii="宋体" w:hAnsi="宋体" w:cs="宋体"/>
          <w:b/>
          <w:color w:val="auto"/>
          <w:sz w:val="24"/>
          <w:szCs w:val="24"/>
          <w:highlight w:val="none"/>
          <w:u w:val="single"/>
          <w:lang w:val="en-US" w:eastAsia="zh-CN"/>
        </w:rPr>
        <w:t>70</w:t>
      </w:r>
      <w:r>
        <w:rPr>
          <w:rFonts w:ascii="宋体" w:hAnsi="宋体" w:cs="宋体"/>
          <w:b/>
          <w:color w:val="auto"/>
          <w:sz w:val="24"/>
          <w:szCs w:val="24"/>
          <w:highlight w:val="none"/>
          <w:u w:val="single"/>
        </w:rPr>
        <w:t>%</w:t>
      </w:r>
      <w:r>
        <w:rPr>
          <w:rFonts w:hint="eastAsia" w:ascii="宋体" w:hAnsi="宋体" w:cs="宋体"/>
          <w:b/>
          <w:color w:val="auto"/>
          <w:sz w:val="24"/>
          <w:szCs w:val="24"/>
          <w:highlight w:val="none"/>
          <w:u w:val="single"/>
        </w:rPr>
        <w:t>（权重）</w:t>
      </w:r>
      <w:r>
        <w:rPr>
          <w:rFonts w:hint="eastAsia" w:ascii="宋体" w:hAnsi="宋体" w:cs="宋体"/>
          <w:color w:val="auto"/>
          <w:sz w:val="24"/>
          <w:szCs w:val="24"/>
          <w:highlight w:val="none"/>
        </w:rPr>
        <w:t>（四舍五入保留两位小数）；</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商务报价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分值占总分值的比重为</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30</w:t>
      </w:r>
      <w:r>
        <w:rPr>
          <w:rFonts w:ascii="宋体" w:hAnsi="宋体" w:cs="宋体"/>
          <w:b/>
          <w:color w:val="auto"/>
          <w:sz w:val="24"/>
          <w:szCs w:val="24"/>
          <w:highlight w:val="none"/>
          <w:u w:val="single"/>
        </w:rPr>
        <w:t>%</w:t>
      </w:r>
      <w:r>
        <w:rPr>
          <w:rFonts w:hint="eastAsia" w:ascii="宋体" w:hAnsi="宋体" w:cs="宋体"/>
          <w:b/>
          <w:color w:val="auto"/>
          <w:sz w:val="24"/>
          <w:szCs w:val="24"/>
          <w:highlight w:val="none"/>
          <w:u w:val="single"/>
        </w:rPr>
        <w:t>（权重）</w:t>
      </w:r>
      <w:r>
        <w:rPr>
          <w:rFonts w:ascii="宋体" w:hAnsi="宋体" w:cs="宋体"/>
          <w:b/>
          <w:color w:val="auto"/>
          <w:sz w:val="24"/>
          <w:szCs w:val="24"/>
          <w:highlight w:val="none"/>
          <w:u w:val="single"/>
        </w:rPr>
        <w:t xml:space="preserve"> </w:t>
      </w:r>
      <w:r>
        <w:rPr>
          <w:rFonts w:hint="eastAsia" w:ascii="宋体" w:hAnsi="宋体" w:cs="宋体"/>
          <w:color w:val="auto"/>
          <w:sz w:val="24"/>
          <w:szCs w:val="24"/>
          <w:highlight w:val="none"/>
        </w:rPr>
        <w:t>（四舍五入保留两位小数）。</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、技术</w:t>
      </w:r>
      <w:r>
        <w:rPr>
          <w:rFonts w:hint="eastAsia" w:ascii="宋体" w:hAnsi="宋体" w:cs="宋体"/>
          <w:color w:val="auto"/>
          <w:kern w:val="0"/>
          <w:sz w:val="24"/>
          <w:szCs w:val="24"/>
          <w:highlight w:val="none"/>
        </w:rPr>
        <w:t>响应文件分值为所有评委打分的算术平均值，计算</w:t>
      </w:r>
      <w:r>
        <w:rPr>
          <w:rFonts w:hint="eastAsia" w:ascii="宋体" w:hAnsi="宋体" w:cs="宋体"/>
          <w:color w:val="auto"/>
          <w:sz w:val="24"/>
          <w:szCs w:val="24"/>
          <w:highlight w:val="none"/>
        </w:rPr>
        <w:t>结果均四舍五入保留两位小数。</w:t>
      </w:r>
      <w:r>
        <w:rPr>
          <w:rFonts w:ascii="宋体" w:hAnsi="宋体" w:cs="宋体"/>
          <w:color w:val="auto"/>
          <w:sz w:val="24"/>
          <w:szCs w:val="24"/>
          <w:highlight w:val="none"/>
        </w:rPr>
        <w:t xml:space="preserve"> </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、商务报价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分值统一采用低价优先法计算直接取得，与技术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分值相加为供应商的综合得分（四舍五入保留两位小数）。</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、综合得分最高的供应商推荐为项目预成交供应商并出具评审磋商报告。</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、确定成交候选人的特殊情况处理：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）若总分相同，则按最终报价得分高者优先中标。</w:t>
      </w:r>
    </w:p>
    <w:p>
      <w:pPr>
        <w:snapToGrid w:val="0"/>
        <w:spacing w:line="480" w:lineRule="exact"/>
        <w:ind w:firstLine="480" w:firstLineChars="200"/>
        <w:outlineLvl w:val="1"/>
        <w:rPr>
          <w:rFonts w:ascii="宋体" w:cs="宋体"/>
          <w:dstrike/>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）若总分且最终报价得分相同，则采取现场抽签的方式确定（由投标供应商按递交响应文件签到顺序号抽签确定）。</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、磋商评审时，评委对评审的细则若有争议，由磋商小组集体讨论确定，并对未尽情况有最终解释权。</w:t>
      </w:r>
    </w:p>
    <w:p>
      <w:pPr>
        <w:snapToGrid w:val="0"/>
        <w:spacing w:line="48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、对落标的供应商不做落标原因的解释。</w:t>
      </w:r>
    </w:p>
    <w:p>
      <w:pP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color w:val="auto"/>
          <w:sz w:val="24"/>
          <w:szCs w:val="24"/>
          <w:highlight w:val="none"/>
        </w:rPr>
        <w:t>五、综合评分评审标准</w:t>
      </w:r>
    </w:p>
    <w:p>
      <w:pPr>
        <w:snapToGrid w:val="0"/>
        <w:spacing w:line="480" w:lineRule="exact"/>
        <w:ind w:firstLine="241" w:firstLineChars="1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（一）技术标评分：（</w:t>
      </w:r>
      <w:r>
        <w:rPr>
          <w:rFonts w:hint="eastAsia" w:ascii="宋体" w:hAnsi="宋体" w:cs="宋体"/>
          <w:b/>
          <w:bCs/>
          <w:color w:val="auto"/>
          <w:sz w:val="24"/>
          <w:szCs w:val="24"/>
          <w:highlight w:val="none"/>
          <w:lang w:val="en-US" w:eastAsia="zh-CN"/>
        </w:rPr>
        <w:t>70</w:t>
      </w:r>
      <w:r>
        <w:rPr>
          <w:rFonts w:hint="eastAsia" w:ascii="宋体" w:hAnsi="宋体" w:cs="宋体"/>
          <w:b/>
          <w:bCs/>
          <w:color w:val="auto"/>
          <w:sz w:val="24"/>
          <w:szCs w:val="24"/>
          <w:highlight w:val="none"/>
        </w:rPr>
        <w:t>分）</w:t>
      </w:r>
    </w:p>
    <w:tbl>
      <w:tblPr>
        <w:tblStyle w:val="52"/>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18" w:type="dxa"/>
            <w:noWrap w:val="0"/>
            <w:vAlign w:val="center"/>
          </w:tcPr>
          <w:p>
            <w:pPr>
              <w:widowControl/>
              <w:spacing w:line="0" w:lineRule="atLeast"/>
              <w:jc w:val="center"/>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项目</w:t>
            </w:r>
          </w:p>
        </w:tc>
        <w:tc>
          <w:tcPr>
            <w:tcW w:w="7074" w:type="dxa"/>
            <w:noWrap w:val="0"/>
            <w:vAlign w:val="center"/>
          </w:tcPr>
          <w:p>
            <w:pPr>
              <w:widowControl/>
              <w:spacing w:line="0" w:lineRule="atLeast"/>
              <w:jc w:val="center"/>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1618" w:type="dxa"/>
            <w:noWrap w:val="0"/>
            <w:vAlign w:val="center"/>
          </w:tcPr>
          <w:p>
            <w:pPr>
              <w:pStyle w:val="63"/>
              <w:snapToGrid w:val="0"/>
              <w:spacing w:line="240" w:lineRule="auto"/>
              <w:ind w:firstLine="0"/>
              <w:jc w:val="center"/>
              <w:rPr>
                <w:rFonts w:ascii="仿宋" w:hAnsi="仿宋" w:eastAsia="仿宋" w:cs="仿宋_GB2312"/>
                <w:bCs/>
                <w:sz w:val="24"/>
              </w:rPr>
            </w:pPr>
            <w:r>
              <w:rPr>
                <w:rFonts w:hint="eastAsia" w:ascii="仿宋" w:hAnsi="仿宋" w:eastAsia="仿宋" w:cs="仿宋_GB2312"/>
                <w:bCs/>
                <w:sz w:val="24"/>
              </w:rPr>
              <w:t>公司</w:t>
            </w:r>
          </w:p>
          <w:p>
            <w:pPr>
              <w:pStyle w:val="63"/>
              <w:snapToGrid w:val="0"/>
              <w:spacing w:line="240" w:lineRule="auto"/>
              <w:ind w:firstLine="0"/>
              <w:jc w:val="center"/>
              <w:rPr>
                <w:rFonts w:ascii="仿宋" w:hAnsi="仿宋" w:eastAsia="仿宋" w:cs="仿宋_GB2312"/>
                <w:bCs/>
                <w:sz w:val="24"/>
              </w:rPr>
            </w:pPr>
            <w:r>
              <w:rPr>
                <w:rFonts w:hint="eastAsia" w:ascii="仿宋" w:hAnsi="仿宋" w:eastAsia="仿宋" w:cs="仿宋_GB2312"/>
                <w:bCs/>
                <w:sz w:val="24"/>
              </w:rPr>
              <w:t>资质</w:t>
            </w:r>
          </w:p>
          <w:p>
            <w:pPr>
              <w:pStyle w:val="63"/>
              <w:snapToGrid w:val="0"/>
              <w:spacing w:line="240" w:lineRule="auto"/>
              <w:ind w:firstLine="0" w:firstLineChars="0"/>
              <w:jc w:val="center"/>
              <w:rPr>
                <w:rFonts w:hint="eastAsia" w:ascii="仿宋" w:hAnsi="仿宋" w:eastAsia="仿宋_GB2312" w:cs="Times New Roman"/>
                <w:i/>
                <w:color w:val="FF0000"/>
                <w:kern w:val="2"/>
                <w:sz w:val="24"/>
                <w:szCs w:val="24"/>
                <w:lang w:val="zh-CN" w:eastAsia="zh-CN" w:bidi="ar-SA"/>
              </w:rPr>
            </w:pPr>
            <w:r>
              <w:rPr>
                <w:rFonts w:hint="eastAsia" w:ascii="仿宋" w:hAnsi="仿宋" w:eastAsia="仿宋" w:cs="仿宋_GB2312"/>
                <w:bCs/>
                <w:sz w:val="24"/>
              </w:rPr>
              <w:t>（</w:t>
            </w:r>
            <w:r>
              <w:rPr>
                <w:rFonts w:ascii="仿宋" w:hAnsi="仿宋" w:eastAsia="仿宋" w:cs="仿宋_GB2312"/>
                <w:bCs/>
                <w:sz w:val="24"/>
              </w:rPr>
              <w:t>14</w:t>
            </w:r>
            <w:r>
              <w:rPr>
                <w:rFonts w:hint="eastAsia" w:ascii="仿宋" w:hAnsi="仿宋" w:eastAsia="仿宋" w:cs="仿宋_GB2312"/>
                <w:bCs/>
                <w:sz w:val="24"/>
              </w:rPr>
              <w:t>分）</w:t>
            </w:r>
          </w:p>
        </w:tc>
        <w:tc>
          <w:tcPr>
            <w:tcW w:w="7074" w:type="dxa"/>
            <w:noWrap w:val="0"/>
            <w:vAlign w:val="center"/>
          </w:tcPr>
          <w:p>
            <w:pPr>
              <w:spacing w:line="340" w:lineRule="exact"/>
              <w:rPr>
                <w:rFonts w:ascii="仿宋" w:hAnsi="仿宋" w:eastAsia="仿宋" w:cs="宋体"/>
                <w:sz w:val="24"/>
              </w:rPr>
            </w:pPr>
            <w:r>
              <w:rPr>
                <w:rFonts w:hint="eastAsia" w:ascii="仿宋" w:hAnsi="仿宋" w:eastAsia="仿宋" w:cs="宋体"/>
                <w:sz w:val="24"/>
              </w:rPr>
              <w:t>1.具有中国网络安全审查技术与认证中心（CCRC）颁发的信息安全风险评估服务资质的得</w:t>
            </w:r>
            <w:r>
              <w:rPr>
                <w:rFonts w:ascii="仿宋" w:hAnsi="仿宋" w:eastAsia="仿宋" w:cs="宋体"/>
                <w:sz w:val="24"/>
              </w:rPr>
              <w:t>3</w:t>
            </w:r>
            <w:r>
              <w:rPr>
                <w:rFonts w:hint="eastAsia" w:ascii="仿宋" w:hAnsi="仿宋" w:eastAsia="仿宋" w:cs="宋体"/>
                <w:sz w:val="24"/>
              </w:rPr>
              <w:t>分，没有不得分。</w:t>
            </w:r>
          </w:p>
          <w:p>
            <w:pPr>
              <w:spacing w:line="340" w:lineRule="exact"/>
              <w:rPr>
                <w:rFonts w:ascii="仿宋" w:hAnsi="仿宋" w:eastAsia="仿宋" w:cs="宋体"/>
                <w:sz w:val="24"/>
              </w:rPr>
            </w:pPr>
            <w:r>
              <w:rPr>
                <w:rFonts w:hint="eastAsia" w:ascii="仿宋" w:hAnsi="仿宋" w:eastAsia="仿宋" w:cs="宋体"/>
                <w:sz w:val="24"/>
              </w:rPr>
              <w:t>2.具有中国网络安全审查技术与认证中心（CCRC）颁发的信息系统安全运维服务资质的得</w:t>
            </w:r>
            <w:r>
              <w:rPr>
                <w:rFonts w:ascii="仿宋" w:hAnsi="仿宋" w:eastAsia="仿宋" w:cs="宋体"/>
                <w:sz w:val="24"/>
              </w:rPr>
              <w:t>3</w:t>
            </w:r>
            <w:r>
              <w:rPr>
                <w:rFonts w:hint="eastAsia" w:ascii="仿宋" w:hAnsi="仿宋" w:eastAsia="仿宋" w:cs="宋体"/>
                <w:sz w:val="24"/>
              </w:rPr>
              <w:t>分，没有不得分。</w:t>
            </w:r>
          </w:p>
          <w:p>
            <w:pPr>
              <w:spacing w:line="340" w:lineRule="exact"/>
              <w:rPr>
                <w:rFonts w:ascii="仿宋" w:hAnsi="仿宋" w:eastAsia="仿宋" w:cs="宋体"/>
                <w:sz w:val="24"/>
              </w:rPr>
            </w:pPr>
            <w:r>
              <w:rPr>
                <w:rFonts w:hint="eastAsia" w:ascii="仿宋" w:hAnsi="仿宋" w:eastAsia="仿宋" w:cs="宋体"/>
                <w:sz w:val="24"/>
              </w:rPr>
              <w:t>3.具有ISO27001网络安全管理体系认证证书的得</w:t>
            </w:r>
            <w:r>
              <w:rPr>
                <w:rFonts w:ascii="仿宋" w:hAnsi="仿宋" w:eastAsia="仿宋" w:cs="宋体"/>
                <w:sz w:val="24"/>
              </w:rPr>
              <w:t>4</w:t>
            </w:r>
            <w:r>
              <w:rPr>
                <w:rFonts w:hint="eastAsia" w:ascii="仿宋" w:hAnsi="仿宋" w:eastAsia="仿宋" w:cs="宋体"/>
                <w:sz w:val="24"/>
              </w:rPr>
              <w:t>分（认证范围必须含：等级保护测评），没有不得分。</w:t>
            </w:r>
          </w:p>
          <w:p>
            <w:pPr>
              <w:spacing w:line="340" w:lineRule="exact"/>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具有ISO9001质量管理体系认证证书的得</w:t>
            </w:r>
            <w:r>
              <w:rPr>
                <w:rFonts w:ascii="仿宋" w:hAnsi="仿宋" w:eastAsia="仿宋" w:cs="宋体"/>
                <w:sz w:val="24"/>
              </w:rPr>
              <w:t>4</w:t>
            </w:r>
            <w:r>
              <w:rPr>
                <w:rFonts w:hint="eastAsia" w:ascii="仿宋" w:hAnsi="仿宋" w:eastAsia="仿宋" w:cs="宋体"/>
                <w:sz w:val="24"/>
              </w:rPr>
              <w:t>分（认证范围必须含：等级保护测评），没有不得分。</w:t>
            </w:r>
          </w:p>
          <w:p>
            <w:pPr>
              <w:spacing w:line="340" w:lineRule="exact"/>
              <w:rPr>
                <w:rFonts w:hint="eastAsia" w:ascii="仿宋" w:hAnsi="仿宋" w:eastAsia="仿宋" w:cs="Times New Roman"/>
                <w:i/>
                <w:color w:val="FF0000"/>
                <w:kern w:val="2"/>
                <w:sz w:val="24"/>
                <w:szCs w:val="24"/>
                <w:lang w:val="zh-CN" w:eastAsia="zh-CN" w:bidi="ar-SA"/>
              </w:rPr>
            </w:pPr>
            <w:r>
              <w:rPr>
                <w:rFonts w:hint="eastAsia" w:ascii="仿宋" w:hAnsi="仿宋" w:eastAsia="仿宋" w:cs="宋体"/>
                <w:b/>
                <w:bCs/>
                <w:sz w:val="24"/>
              </w:rPr>
              <w:t>证明材料：</w:t>
            </w:r>
            <w:r>
              <w:rPr>
                <w:rFonts w:hint="eastAsia" w:ascii="仿宋" w:hAnsi="仿宋" w:eastAsia="仿宋" w:cs="宋体"/>
                <w:sz w:val="24"/>
              </w:rPr>
              <w:t>提供证明材料复印件并加盖供应商公章。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18" w:type="dxa"/>
            <w:vMerge w:val="restart"/>
            <w:noWrap w:val="0"/>
            <w:vAlign w:val="center"/>
          </w:tcPr>
          <w:p>
            <w:pPr>
              <w:pStyle w:val="63"/>
              <w:snapToGrid w:val="0"/>
              <w:spacing w:line="240" w:lineRule="auto"/>
              <w:ind w:firstLine="0"/>
              <w:jc w:val="center"/>
              <w:rPr>
                <w:rFonts w:ascii="仿宋" w:hAnsi="仿宋" w:eastAsia="仿宋" w:cs="仿宋_GB2312"/>
                <w:bCs/>
                <w:sz w:val="24"/>
              </w:rPr>
            </w:pPr>
            <w:r>
              <w:rPr>
                <w:rFonts w:hint="eastAsia" w:ascii="仿宋" w:hAnsi="仿宋" w:eastAsia="仿宋" w:cs="仿宋_GB2312"/>
                <w:bCs/>
                <w:sz w:val="24"/>
              </w:rPr>
              <w:t>技术</w:t>
            </w:r>
          </w:p>
          <w:p>
            <w:pPr>
              <w:pStyle w:val="63"/>
              <w:snapToGrid w:val="0"/>
              <w:spacing w:line="240" w:lineRule="auto"/>
              <w:ind w:firstLine="0"/>
              <w:jc w:val="center"/>
              <w:rPr>
                <w:rFonts w:ascii="仿宋" w:hAnsi="仿宋" w:eastAsia="仿宋" w:cs="仿宋_GB2312"/>
                <w:bCs/>
                <w:sz w:val="24"/>
              </w:rPr>
            </w:pPr>
            <w:r>
              <w:rPr>
                <w:rFonts w:hint="eastAsia" w:ascii="仿宋" w:hAnsi="仿宋" w:eastAsia="仿宋" w:cs="仿宋_GB2312"/>
                <w:bCs/>
                <w:sz w:val="24"/>
              </w:rPr>
              <w:t>实力</w:t>
            </w:r>
          </w:p>
          <w:p>
            <w:pPr>
              <w:pStyle w:val="63"/>
              <w:snapToGrid w:val="0"/>
              <w:spacing w:line="240" w:lineRule="auto"/>
              <w:ind w:firstLine="0" w:firstLineChars="0"/>
              <w:jc w:val="center"/>
              <w:rPr>
                <w:rFonts w:hint="eastAsia" w:ascii="仿宋" w:hAnsi="仿宋" w:eastAsia="仿宋_GB2312" w:cs="Times New Roman"/>
                <w:i/>
                <w:color w:val="FF0000"/>
                <w:kern w:val="2"/>
                <w:sz w:val="24"/>
                <w:szCs w:val="24"/>
                <w:lang w:val="en-US" w:eastAsia="zh-CN" w:bidi="ar-SA"/>
              </w:rPr>
            </w:pPr>
            <w:r>
              <w:rPr>
                <w:rFonts w:hint="eastAsia" w:ascii="仿宋" w:hAnsi="仿宋" w:eastAsia="仿宋" w:cs="仿宋_GB2312"/>
                <w:bCs/>
                <w:sz w:val="24"/>
              </w:rPr>
              <w:t>（</w:t>
            </w:r>
            <w:r>
              <w:rPr>
                <w:rFonts w:ascii="仿宋" w:hAnsi="仿宋" w:eastAsia="仿宋" w:cs="仿宋_GB2312"/>
                <w:bCs/>
                <w:sz w:val="24"/>
              </w:rPr>
              <w:t>10</w:t>
            </w:r>
            <w:r>
              <w:rPr>
                <w:rFonts w:hint="eastAsia" w:ascii="仿宋" w:hAnsi="仿宋" w:eastAsia="仿宋" w:cs="仿宋_GB2312"/>
                <w:bCs/>
                <w:sz w:val="24"/>
              </w:rPr>
              <w:t>分）</w:t>
            </w:r>
          </w:p>
        </w:tc>
        <w:tc>
          <w:tcPr>
            <w:tcW w:w="7074" w:type="dxa"/>
            <w:noWrap w:val="0"/>
            <w:vAlign w:val="center"/>
          </w:tcPr>
          <w:p>
            <w:pPr>
              <w:pStyle w:val="63"/>
              <w:snapToGrid w:val="0"/>
              <w:spacing w:line="240" w:lineRule="auto"/>
              <w:ind w:firstLine="0"/>
              <w:jc w:val="left"/>
              <w:rPr>
                <w:rFonts w:ascii="仿宋" w:hAnsi="仿宋" w:eastAsia="仿宋" w:cs="仿宋_GB2312"/>
                <w:bCs/>
                <w:sz w:val="24"/>
                <w:highlight w:val="yellow"/>
              </w:rPr>
            </w:pPr>
            <w:r>
              <w:rPr>
                <w:rFonts w:hint="eastAsia" w:ascii="仿宋" w:hAnsi="仿宋" w:eastAsia="仿宋" w:cs="仿宋_GB2312"/>
                <w:bCs/>
                <w:sz w:val="24"/>
                <w:highlight w:val="yellow"/>
              </w:rPr>
              <w:t>响应供应商在CNAS测评能力验证结果为“满意”的得</w:t>
            </w:r>
            <w:r>
              <w:rPr>
                <w:rFonts w:ascii="仿宋" w:hAnsi="仿宋" w:eastAsia="仿宋" w:cs="仿宋_GB2312"/>
                <w:bCs/>
                <w:sz w:val="24"/>
                <w:highlight w:val="yellow"/>
              </w:rPr>
              <w:t>5</w:t>
            </w:r>
            <w:r>
              <w:rPr>
                <w:rFonts w:hint="eastAsia" w:ascii="仿宋" w:hAnsi="仿宋" w:eastAsia="仿宋" w:cs="仿宋_GB2312"/>
                <w:bCs/>
                <w:sz w:val="24"/>
                <w:highlight w:val="yellow"/>
              </w:rPr>
              <w:t>分。</w:t>
            </w:r>
          </w:p>
          <w:p>
            <w:pPr>
              <w:pStyle w:val="63"/>
              <w:snapToGrid w:val="0"/>
              <w:spacing w:line="240" w:lineRule="auto"/>
              <w:ind w:firstLine="0"/>
              <w:jc w:val="left"/>
              <w:rPr>
                <w:rFonts w:hint="eastAsia" w:ascii="仿宋" w:hAnsi="仿宋" w:eastAsia="仿宋" w:cs="Times New Roman"/>
                <w:i/>
                <w:color w:val="FF0000"/>
                <w:kern w:val="2"/>
                <w:sz w:val="24"/>
                <w:szCs w:val="24"/>
                <w:lang w:val="zh-CN" w:eastAsia="zh-CN" w:bidi="ar-SA"/>
              </w:rPr>
            </w:pPr>
            <w:r>
              <w:rPr>
                <w:rFonts w:hint="eastAsia" w:ascii="仿宋" w:hAnsi="仿宋" w:eastAsia="仿宋" w:cs="仿宋_GB2312"/>
                <w:bCs/>
                <w:sz w:val="24"/>
              </w:rPr>
              <w:t>证明材料：提供中国合格评定国家认可委员会出具的能力验证计划结果证书复印件并加盖响应供应商公章。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618" w:type="dxa"/>
            <w:vMerge w:val="continue"/>
            <w:noWrap w:val="0"/>
            <w:vAlign w:val="center"/>
          </w:tcPr>
          <w:p>
            <w:pPr>
              <w:tabs>
                <w:tab w:val="left" w:pos="3165"/>
              </w:tabs>
              <w:snapToGrid w:val="0"/>
              <w:jc w:val="center"/>
              <w:rPr>
                <w:rFonts w:hint="eastAsia" w:ascii="仿宋" w:hAnsi="仿宋" w:eastAsia="仿宋_GB2312" w:cs="Times New Roman"/>
                <w:i/>
                <w:color w:val="FF0000"/>
                <w:kern w:val="2"/>
                <w:sz w:val="24"/>
                <w:szCs w:val="24"/>
                <w:lang w:val="en-US" w:eastAsia="zh-CN" w:bidi="ar-SA"/>
              </w:rPr>
            </w:pPr>
          </w:p>
        </w:tc>
        <w:tc>
          <w:tcPr>
            <w:tcW w:w="7074" w:type="dxa"/>
            <w:noWrap w:val="0"/>
            <w:vAlign w:val="center"/>
          </w:tcPr>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响应供应商与信息安全等级保护关键技术国家工程实验室有合作的得</w:t>
            </w:r>
            <w:r>
              <w:rPr>
                <w:rFonts w:ascii="仿宋" w:hAnsi="仿宋" w:eastAsia="仿宋" w:cs="仿宋_GB2312"/>
                <w:bCs/>
                <w:sz w:val="24"/>
              </w:rPr>
              <w:t>5</w:t>
            </w:r>
            <w:r>
              <w:rPr>
                <w:rFonts w:hint="eastAsia" w:ascii="仿宋" w:hAnsi="仿宋" w:eastAsia="仿宋" w:cs="仿宋_GB2312"/>
                <w:bCs/>
                <w:sz w:val="24"/>
              </w:rPr>
              <w:t>分；响应供应商与信息安全等级保护关键技术国家工程实验室分实验室有合作的得</w:t>
            </w:r>
            <w:r>
              <w:rPr>
                <w:rFonts w:ascii="仿宋" w:hAnsi="仿宋" w:eastAsia="仿宋" w:cs="仿宋_GB2312"/>
                <w:bCs/>
                <w:sz w:val="24"/>
              </w:rPr>
              <w:t>3</w:t>
            </w:r>
            <w:r>
              <w:rPr>
                <w:rFonts w:hint="eastAsia" w:ascii="仿宋" w:hAnsi="仿宋" w:eastAsia="仿宋" w:cs="仿宋_GB2312"/>
                <w:bCs/>
                <w:sz w:val="24"/>
              </w:rPr>
              <w:t>分；没有不得分。</w:t>
            </w:r>
          </w:p>
          <w:p>
            <w:pPr>
              <w:pStyle w:val="63"/>
              <w:snapToGrid w:val="0"/>
              <w:spacing w:line="240" w:lineRule="auto"/>
              <w:ind w:firstLine="0" w:firstLineChars="0"/>
              <w:jc w:val="left"/>
              <w:rPr>
                <w:rFonts w:hint="eastAsia" w:ascii="仿宋" w:hAnsi="仿宋" w:eastAsia="仿宋" w:cs="Times New Roman"/>
                <w:i/>
                <w:color w:val="FF0000"/>
                <w:kern w:val="2"/>
                <w:sz w:val="24"/>
                <w:szCs w:val="24"/>
                <w:lang w:val="en-US" w:eastAsia="zh-CN" w:bidi="ar-SA"/>
              </w:rPr>
            </w:pPr>
            <w:r>
              <w:rPr>
                <w:rFonts w:hint="eastAsia" w:ascii="仿宋" w:hAnsi="仿宋" w:eastAsia="仿宋" w:cs="仿宋_GB2312"/>
                <w:bCs/>
                <w:sz w:val="24"/>
              </w:rPr>
              <w:t>证明材料：提供正式的合作协议复印件并加盖响应供应商公章。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2" w:hRule="atLeast"/>
        </w:trPr>
        <w:tc>
          <w:tcPr>
            <w:tcW w:w="1618" w:type="dxa"/>
            <w:noWrap w:val="0"/>
            <w:vAlign w:val="center"/>
          </w:tcPr>
          <w:p>
            <w:pPr>
              <w:pStyle w:val="63"/>
              <w:snapToGrid w:val="0"/>
              <w:spacing w:line="240" w:lineRule="auto"/>
              <w:ind w:firstLine="0" w:firstLineChars="0"/>
              <w:jc w:val="left"/>
              <w:rPr>
                <w:rFonts w:hint="eastAsia" w:ascii="仿宋" w:hAnsi="仿宋" w:eastAsia="仿宋" w:cs="仿宋_GB2312"/>
                <w:bCs/>
                <w:kern w:val="2"/>
                <w:sz w:val="24"/>
                <w:szCs w:val="24"/>
                <w:lang w:val="zh-CN" w:eastAsia="zh-CN" w:bidi="ar-SA"/>
              </w:rPr>
            </w:pPr>
            <w:r>
              <w:rPr>
                <w:rFonts w:hint="eastAsia" w:ascii="仿宋" w:hAnsi="仿宋" w:eastAsia="仿宋" w:cs="仿宋_GB2312"/>
                <w:bCs/>
                <w:sz w:val="24"/>
              </w:rPr>
              <w:t>项目组成员（</w:t>
            </w:r>
            <w:r>
              <w:rPr>
                <w:rFonts w:ascii="仿宋" w:hAnsi="仿宋" w:eastAsia="仿宋" w:cs="仿宋_GB2312"/>
                <w:bCs/>
                <w:sz w:val="24"/>
              </w:rPr>
              <w:t>15</w:t>
            </w:r>
            <w:r>
              <w:rPr>
                <w:rFonts w:hint="eastAsia" w:ascii="仿宋" w:hAnsi="仿宋" w:eastAsia="仿宋" w:cs="仿宋_GB2312"/>
                <w:bCs/>
                <w:sz w:val="24"/>
              </w:rPr>
              <w:t>分）</w:t>
            </w:r>
          </w:p>
        </w:tc>
        <w:tc>
          <w:tcPr>
            <w:tcW w:w="7074" w:type="dxa"/>
            <w:noWrap w:val="0"/>
            <w:vAlign w:val="center"/>
          </w:tcPr>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承担本次项目的项目团队人员具备：</w:t>
            </w:r>
          </w:p>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（1）本项目拟派团队的项目经理为高级测评师得2分，项目经理有CISSP认证的得</w:t>
            </w:r>
            <w:r>
              <w:rPr>
                <w:rFonts w:ascii="仿宋" w:hAnsi="仿宋" w:eastAsia="仿宋" w:cs="仿宋_GB2312"/>
                <w:bCs/>
                <w:sz w:val="24"/>
              </w:rPr>
              <w:t>3</w:t>
            </w:r>
            <w:r>
              <w:rPr>
                <w:rFonts w:hint="eastAsia" w:ascii="仿宋" w:hAnsi="仿宋" w:eastAsia="仿宋" w:cs="仿宋_GB2312"/>
                <w:bCs/>
                <w:sz w:val="24"/>
              </w:rPr>
              <w:t>分；</w:t>
            </w:r>
          </w:p>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（1）除项目经理外，本项目拟派团队中持有高级测评师，每人次得</w:t>
            </w:r>
            <w:r>
              <w:rPr>
                <w:rFonts w:ascii="仿宋" w:hAnsi="仿宋" w:eastAsia="仿宋" w:cs="仿宋_GB2312"/>
                <w:bCs/>
                <w:sz w:val="24"/>
              </w:rPr>
              <w:t>2</w:t>
            </w:r>
            <w:r>
              <w:rPr>
                <w:rFonts w:hint="eastAsia" w:ascii="仿宋" w:hAnsi="仿宋" w:eastAsia="仿宋" w:cs="仿宋_GB2312"/>
                <w:bCs/>
                <w:sz w:val="24"/>
              </w:rPr>
              <w:t>分，最高得</w:t>
            </w:r>
            <w:r>
              <w:rPr>
                <w:rFonts w:ascii="仿宋" w:hAnsi="仿宋" w:eastAsia="仿宋" w:cs="仿宋_GB2312"/>
                <w:bCs/>
                <w:sz w:val="24"/>
              </w:rPr>
              <w:t>4</w:t>
            </w:r>
            <w:r>
              <w:rPr>
                <w:rFonts w:hint="eastAsia" w:ascii="仿宋" w:hAnsi="仿宋" w:eastAsia="仿宋" w:cs="仿宋_GB2312"/>
                <w:bCs/>
                <w:sz w:val="24"/>
              </w:rPr>
              <w:t>分；</w:t>
            </w:r>
          </w:p>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（2）除项目经理外，本项目拟派团队中持有中华人民共和国人力资源和社会保障部、工业和信息化部批准颁发的“信息安全工程师”证书，有一个得2分，最高2分；</w:t>
            </w:r>
          </w:p>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w:t>
            </w:r>
            <w:r>
              <w:rPr>
                <w:rFonts w:ascii="仿宋" w:hAnsi="仿宋" w:eastAsia="仿宋" w:cs="仿宋_GB2312"/>
                <w:bCs/>
                <w:sz w:val="24"/>
              </w:rPr>
              <w:t>3</w:t>
            </w:r>
            <w:r>
              <w:rPr>
                <w:rFonts w:hint="eastAsia" w:ascii="仿宋" w:hAnsi="仿宋" w:eastAsia="仿宋" w:cs="仿宋_GB2312"/>
                <w:bCs/>
                <w:sz w:val="24"/>
              </w:rPr>
              <w:t>）除项目经理外，本项目拟派团队中持有信息安全保障人员认证证书（CISAW），每人次得1分，最高得2分；</w:t>
            </w:r>
          </w:p>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w:t>
            </w:r>
            <w:r>
              <w:rPr>
                <w:rFonts w:ascii="仿宋" w:hAnsi="仿宋" w:eastAsia="仿宋" w:cs="仿宋_GB2312"/>
                <w:bCs/>
                <w:sz w:val="24"/>
              </w:rPr>
              <w:t>4</w:t>
            </w:r>
            <w:r>
              <w:rPr>
                <w:rFonts w:hint="eastAsia" w:ascii="仿宋" w:hAnsi="仿宋" w:eastAsia="仿宋" w:cs="仿宋_GB2312"/>
                <w:bCs/>
                <w:sz w:val="24"/>
              </w:rPr>
              <w:t>）除项目经理外，本项目拟派团队中持有重要信息系统安全等级保护培训证书（CIIP-T），每人次得1分，最高得2分。没有不得分；</w:t>
            </w:r>
          </w:p>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 xml:space="preserve">证明材料： </w:t>
            </w:r>
          </w:p>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（1）提供拟派人员名单以及以上相关证明材料复印件并加盖供应商公章；</w:t>
            </w:r>
          </w:p>
          <w:p>
            <w:pPr>
              <w:pStyle w:val="63"/>
              <w:snapToGrid w:val="0"/>
              <w:spacing w:line="240" w:lineRule="auto"/>
              <w:ind w:firstLine="0" w:firstLineChars="0"/>
              <w:jc w:val="left"/>
              <w:rPr>
                <w:rFonts w:hint="eastAsia" w:ascii="仿宋" w:hAnsi="仿宋" w:eastAsia="仿宋" w:cs="仿宋_GB2312"/>
                <w:bCs/>
                <w:kern w:val="2"/>
                <w:sz w:val="24"/>
                <w:szCs w:val="24"/>
                <w:lang w:val="zh-CN" w:eastAsia="zh-CN" w:bidi="ar-SA"/>
              </w:rPr>
            </w:pPr>
            <w:r>
              <w:rPr>
                <w:rFonts w:hint="eastAsia" w:ascii="仿宋" w:hAnsi="仿宋" w:eastAsia="仿宋" w:cs="仿宋_GB2312"/>
                <w:bCs/>
                <w:sz w:val="24"/>
              </w:rPr>
              <w:t>（2）拟派人员为本单位正式员工，提供供应商为其缴纳养老保险缴纳证明材料并加盖单位公章。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618" w:type="dxa"/>
            <w:noWrap w:val="0"/>
            <w:vAlign w:val="center"/>
          </w:tcPr>
          <w:p>
            <w:pPr>
              <w:pStyle w:val="63"/>
              <w:snapToGrid w:val="0"/>
              <w:spacing w:line="240" w:lineRule="auto"/>
              <w:ind w:firstLine="0" w:firstLineChars="0"/>
              <w:jc w:val="left"/>
              <w:rPr>
                <w:rFonts w:hint="eastAsia" w:ascii="仿宋" w:hAnsi="仿宋" w:eastAsia="仿宋" w:cs="仿宋_GB2312"/>
                <w:bCs/>
                <w:kern w:val="2"/>
                <w:sz w:val="24"/>
                <w:szCs w:val="24"/>
                <w:lang w:val="zh-CN" w:eastAsia="zh-CN" w:bidi="ar-SA"/>
              </w:rPr>
            </w:pPr>
            <w:r>
              <w:rPr>
                <w:rFonts w:hint="eastAsia" w:ascii="仿宋" w:hAnsi="仿宋" w:eastAsia="仿宋" w:cs="仿宋_GB2312"/>
                <w:bCs/>
                <w:sz w:val="24"/>
              </w:rPr>
              <w:t>业绩（</w:t>
            </w:r>
            <w:r>
              <w:rPr>
                <w:rFonts w:ascii="仿宋" w:hAnsi="仿宋" w:eastAsia="仿宋" w:cs="仿宋_GB2312"/>
                <w:bCs/>
                <w:sz w:val="24"/>
              </w:rPr>
              <w:t>15</w:t>
            </w:r>
            <w:r>
              <w:rPr>
                <w:rFonts w:hint="eastAsia" w:ascii="仿宋" w:hAnsi="仿宋" w:eastAsia="仿宋" w:cs="仿宋_GB2312"/>
                <w:bCs/>
                <w:sz w:val="24"/>
              </w:rPr>
              <w:t>分）</w:t>
            </w:r>
          </w:p>
        </w:tc>
        <w:tc>
          <w:tcPr>
            <w:tcW w:w="7074" w:type="dxa"/>
            <w:noWrap w:val="0"/>
            <w:vAlign w:val="center"/>
          </w:tcPr>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响应供应商提供</w:t>
            </w:r>
            <w:r>
              <w:rPr>
                <w:rFonts w:ascii="仿宋" w:hAnsi="仿宋" w:eastAsia="仿宋" w:cs="仿宋_GB2312"/>
                <w:bCs/>
                <w:sz w:val="24"/>
              </w:rPr>
              <w:t>2020</w:t>
            </w:r>
            <w:r>
              <w:rPr>
                <w:rFonts w:hint="eastAsia" w:ascii="仿宋" w:hAnsi="仿宋" w:eastAsia="仿宋" w:cs="仿宋_GB2312"/>
                <w:bCs/>
                <w:sz w:val="24"/>
              </w:rPr>
              <w:t>年以来类似测评业绩：每个业绩得</w:t>
            </w:r>
            <w:r>
              <w:rPr>
                <w:rFonts w:ascii="仿宋" w:hAnsi="仿宋" w:eastAsia="仿宋" w:cs="仿宋_GB2312"/>
                <w:bCs/>
                <w:sz w:val="24"/>
              </w:rPr>
              <w:t>3</w:t>
            </w:r>
            <w:r>
              <w:rPr>
                <w:rFonts w:hint="eastAsia" w:ascii="仿宋" w:hAnsi="仿宋" w:eastAsia="仿宋" w:cs="仿宋_GB2312"/>
                <w:bCs/>
                <w:sz w:val="24"/>
              </w:rPr>
              <w:t>分，最高得</w:t>
            </w:r>
            <w:r>
              <w:rPr>
                <w:rFonts w:ascii="仿宋" w:hAnsi="仿宋" w:eastAsia="仿宋" w:cs="仿宋_GB2312"/>
                <w:bCs/>
                <w:sz w:val="24"/>
              </w:rPr>
              <w:t>15</w:t>
            </w:r>
            <w:r>
              <w:rPr>
                <w:rFonts w:hint="eastAsia" w:ascii="仿宋" w:hAnsi="仿宋" w:eastAsia="仿宋" w:cs="仿宋_GB2312"/>
                <w:bCs/>
                <w:sz w:val="24"/>
              </w:rPr>
              <w:t>分。</w:t>
            </w:r>
          </w:p>
          <w:p>
            <w:pPr>
              <w:pStyle w:val="63"/>
              <w:snapToGrid w:val="0"/>
              <w:spacing w:line="240" w:lineRule="auto"/>
              <w:ind w:firstLine="0" w:firstLineChars="0"/>
              <w:jc w:val="left"/>
              <w:rPr>
                <w:rFonts w:hint="eastAsia" w:ascii="仿宋" w:hAnsi="仿宋" w:eastAsia="仿宋" w:cs="仿宋_GB2312"/>
                <w:bCs/>
                <w:kern w:val="2"/>
                <w:sz w:val="24"/>
                <w:szCs w:val="24"/>
                <w:lang w:val="zh-CN" w:eastAsia="zh-CN" w:bidi="ar-SA"/>
              </w:rPr>
            </w:pPr>
            <w:r>
              <w:rPr>
                <w:rFonts w:hint="eastAsia" w:ascii="仿宋" w:hAnsi="仿宋" w:eastAsia="仿宋" w:cs="仿宋_GB2312"/>
                <w:bCs/>
                <w:sz w:val="24"/>
              </w:rPr>
              <w:t>证明材料：提供合同复印件并加盖响应供应商公章。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618" w:type="dxa"/>
            <w:vMerge w:val="restart"/>
            <w:noWrap w:val="0"/>
            <w:vAlign w:val="center"/>
          </w:tcPr>
          <w:p>
            <w:pPr>
              <w:pStyle w:val="63"/>
              <w:snapToGrid w:val="0"/>
              <w:spacing w:line="240" w:lineRule="auto"/>
              <w:ind w:firstLine="0"/>
              <w:jc w:val="center"/>
              <w:rPr>
                <w:rFonts w:ascii="仿宋" w:hAnsi="仿宋" w:eastAsia="仿宋" w:cs="仿宋_GB2312"/>
                <w:bCs/>
                <w:sz w:val="24"/>
              </w:rPr>
            </w:pPr>
            <w:r>
              <w:rPr>
                <w:rFonts w:hint="eastAsia" w:ascii="仿宋" w:hAnsi="仿宋" w:eastAsia="仿宋" w:cs="仿宋_GB2312"/>
                <w:bCs/>
                <w:sz w:val="24"/>
              </w:rPr>
              <w:t>服务</w:t>
            </w:r>
          </w:p>
          <w:p>
            <w:pPr>
              <w:pStyle w:val="63"/>
              <w:snapToGrid w:val="0"/>
              <w:spacing w:line="240" w:lineRule="auto"/>
              <w:ind w:firstLine="0"/>
              <w:jc w:val="center"/>
              <w:rPr>
                <w:rFonts w:ascii="仿宋" w:hAnsi="仿宋" w:eastAsia="仿宋" w:cs="仿宋_GB2312"/>
                <w:bCs/>
                <w:sz w:val="24"/>
              </w:rPr>
            </w:pPr>
            <w:r>
              <w:rPr>
                <w:rFonts w:hint="eastAsia" w:ascii="仿宋" w:hAnsi="仿宋" w:eastAsia="仿宋" w:cs="仿宋_GB2312"/>
                <w:bCs/>
                <w:sz w:val="24"/>
              </w:rPr>
              <w:t>能力</w:t>
            </w:r>
          </w:p>
          <w:p>
            <w:pPr>
              <w:pStyle w:val="63"/>
              <w:snapToGrid w:val="0"/>
              <w:spacing w:line="240" w:lineRule="auto"/>
              <w:ind w:firstLine="0" w:firstLineChars="0"/>
              <w:jc w:val="center"/>
              <w:rPr>
                <w:rFonts w:hint="eastAsia" w:ascii="仿宋" w:hAnsi="仿宋" w:eastAsia="仿宋" w:cs="仿宋_GB2312"/>
                <w:bCs/>
                <w:kern w:val="2"/>
                <w:sz w:val="24"/>
                <w:szCs w:val="24"/>
                <w:lang w:val="zh-CN" w:eastAsia="zh-CN" w:bidi="ar-SA"/>
              </w:rPr>
            </w:pPr>
            <w:r>
              <w:rPr>
                <w:rFonts w:hint="eastAsia" w:ascii="仿宋" w:hAnsi="仿宋" w:eastAsia="仿宋" w:cs="仿宋_GB2312"/>
                <w:bCs/>
                <w:sz w:val="24"/>
              </w:rPr>
              <w:t>（</w:t>
            </w:r>
            <w:r>
              <w:rPr>
                <w:rFonts w:ascii="仿宋" w:hAnsi="仿宋" w:eastAsia="仿宋" w:cs="仿宋_GB2312"/>
                <w:bCs/>
                <w:sz w:val="24"/>
              </w:rPr>
              <w:t>16</w:t>
            </w:r>
            <w:r>
              <w:rPr>
                <w:rFonts w:hint="eastAsia" w:ascii="仿宋" w:hAnsi="仿宋" w:eastAsia="仿宋" w:cs="仿宋_GB2312"/>
                <w:bCs/>
                <w:sz w:val="24"/>
              </w:rPr>
              <w:t>分）</w:t>
            </w:r>
          </w:p>
        </w:tc>
        <w:tc>
          <w:tcPr>
            <w:tcW w:w="7074" w:type="dxa"/>
            <w:noWrap w:val="0"/>
            <w:vAlign w:val="center"/>
          </w:tcPr>
          <w:p>
            <w:pPr>
              <w:pStyle w:val="63"/>
              <w:snapToGrid w:val="0"/>
              <w:spacing w:line="240" w:lineRule="auto"/>
              <w:ind w:firstLine="0" w:firstLineChars="0"/>
              <w:jc w:val="left"/>
              <w:rPr>
                <w:rFonts w:hint="eastAsia" w:ascii="仿宋" w:hAnsi="仿宋" w:eastAsia="仿宋" w:cs="仿宋_GB2312"/>
                <w:bCs/>
                <w:kern w:val="2"/>
                <w:sz w:val="24"/>
                <w:szCs w:val="24"/>
                <w:lang w:val="en-US" w:eastAsia="zh-CN" w:bidi="ar-SA"/>
              </w:rPr>
            </w:pPr>
            <w:r>
              <w:rPr>
                <w:rFonts w:hint="eastAsia" w:ascii="仿宋" w:hAnsi="仿宋" w:eastAsia="仿宋" w:cs="仿宋_GB2312"/>
                <w:bCs/>
                <w:sz w:val="24"/>
              </w:rPr>
              <w:t>提供本项目网络安全等级保护测评方案，评审小组进行横向比较，分档打分，一档8分；二档5分，三挡</w:t>
            </w:r>
            <w:r>
              <w:rPr>
                <w:rFonts w:ascii="仿宋" w:hAnsi="仿宋" w:eastAsia="仿宋" w:cs="仿宋_GB2312"/>
                <w:bCs/>
                <w:sz w:val="24"/>
              </w:rPr>
              <w:t>3</w:t>
            </w:r>
            <w:r>
              <w:rPr>
                <w:rFonts w:hint="eastAsia" w:ascii="仿宋" w:hAnsi="仿宋" w:eastAsia="仿宋" w:cs="仿宋_GB2312"/>
                <w:bCs/>
                <w:sz w:val="24"/>
              </w:rPr>
              <w:t>分，方案质量低劣或不提供不得分。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618" w:type="dxa"/>
            <w:vMerge w:val="continue"/>
            <w:noWrap w:val="0"/>
            <w:vAlign w:val="center"/>
          </w:tcPr>
          <w:p>
            <w:pPr>
              <w:spacing w:line="360" w:lineRule="auto"/>
              <w:jc w:val="center"/>
              <w:rPr>
                <w:rFonts w:hint="eastAsia" w:ascii="仿宋" w:hAnsi="仿宋" w:eastAsia="仿宋" w:cs="Times New Roman"/>
                <w:kern w:val="2"/>
                <w:sz w:val="24"/>
                <w:szCs w:val="24"/>
                <w:lang w:val="en-US" w:eastAsia="zh-CN" w:bidi="ar-SA"/>
              </w:rPr>
            </w:pPr>
          </w:p>
        </w:tc>
        <w:tc>
          <w:tcPr>
            <w:tcW w:w="7074" w:type="dxa"/>
            <w:noWrap w:val="0"/>
            <w:vAlign w:val="center"/>
          </w:tcPr>
          <w:p>
            <w:pPr>
              <w:pStyle w:val="63"/>
              <w:snapToGrid w:val="0"/>
              <w:spacing w:line="240" w:lineRule="auto"/>
              <w:ind w:firstLine="0"/>
              <w:jc w:val="left"/>
              <w:rPr>
                <w:rFonts w:ascii="仿宋" w:hAnsi="仿宋" w:eastAsia="仿宋" w:cs="仿宋_GB2312"/>
                <w:bCs/>
                <w:sz w:val="24"/>
              </w:rPr>
            </w:pPr>
            <w:r>
              <w:rPr>
                <w:rFonts w:hint="eastAsia" w:ascii="仿宋" w:hAnsi="仿宋" w:eastAsia="仿宋" w:cs="仿宋_GB2312"/>
                <w:bCs/>
                <w:sz w:val="24"/>
              </w:rPr>
              <w:t>安全事件应急响应能力：我单位承载业务系统非常重要，不容有失，一旦发生网络安全事件，必须得到及时处理，响应供应商必须提供网络安全事件应急响应服务，</w:t>
            </w:r>
            <w:r>
              <w:rPr>
                <w:rFonts w:ascii="仿宋" w:hAnsi="仿宋" w:eastAsia="仿宋" w:cs="仿宋_GB2312"/>
                <w:bCs/>
                <w:sz w:val="24"/>
              </w:rPr>
              <w:t>2</w:t>
            </w:r>
            <w:r>
              <w:rPr>
                <w:rFonts w:hint="eastAsia" w:ascii="仿宋" w:hAnsi="仿宋" w:eastAsia="仿宋" w:cs="仿宋_GB2312"/>
                <w:bCs/>
                <w:sz w:val="24"/>
              </w:rPr>
              <w:t>小时内到场响应且响应时间最快的得</w:t>
            </w:r>
            <w:r>
              <w:rPr>
                <w:rFonts w:ascii="仿宋" w:hAnsi="仿宋" w:eastAsia="仿宋" w:cs="仿宋_GB2312"/>
                <w:bCs/>
                <w:sz w:val="24"/>
              </w:rPr>
              <w:t>8</w:t>
            </w:r>
            <w:r>
              <w:rPr>
                <w:rFonts w:hint="eastAsia" w:ascii="仿宋" w:hAnsi="仿宋" w:eastAsia="仿宋" w:cs="仿宋_GB2312"/>
                <w:bCs/>
                <w:sz w:val="24"/>
              </w:rPr>
              <w:t>分，其次得</w:t>
            </w:r>
            <w:r>
              <w:rPr>
                <w:rFonts w:ascii="仿宋" w:hAnsi="仿宋" w:eastAsia="仿宋" w:cs="仿宋_GB2312"/>
                <w:bCs/>
                <w:sz w:val="24"/>
              </w:rPr>
              <w:t>4</w:t>
            </w:r>
            <w:r>
              <w:rPr>
                <w:rFonts w:hint="eastAsia" w:ascii="仿宋" w:hAnsi="仿宋" w:eastAsia="仿宋" w:cs="仿宋_GB2312"/>
                <w:bCs/>
                <w:sz w:val="24"/>
              </w:rPr>
              <w:t>分，到场响应时间超过</w:t>
            </w:r>
            <w:r>
              <w:rPr>
                <w:rFonts w:ascii="仿宋" w:hAnsi="仿宋" w:eastAsia="仿宋" w:cs="仿宋_GB2312"/>
                <w:bCs/>
                <w:sz w:val="24"/>
              </w:rPr>
              <w:t>3</w:t>
            </w:r>
            <w:r>
              <w:rPr>
                <w:rFonts w:hint="eastAsia" w:ascii="仿宋" w:hAnsi="仿宋" w:eastAsia="仿宋" w:cs="仿宋_GB2312"/>
                <w:bCs/>
                <w:sz w:val="24"/>
              </w:rPr>
              <w:t>小时不得分。</w:t>
            </w:r>
          </w:p>
          <w:p>
            <w:pPr>
              <w:pStyle w:val="63"/>
              <w:snapToGrid w:val="0"/>
              <w:spacing w:line="240" w:lineRule="auto"/>
              <w:ind w:firstLine="0"/>
              <w:jc w:val="left"/>
              <w:rPr>
                <w:rFonts w:hint="eastAsia" w:ascii="仿宋" w:hAnsi="仿宋" w:eastAsia="仿宋" w:cs="仿宋_GB2312"/>
                <w:bCs/>
                <w:kern w:val="2"/>
                <w:sz w:val="24"/>
                <w:szCs w:val="24"/>
                <w:lang w:val="en-US" w:eastAsia="zh-CN" w:bidi="ar-SA"/>
              </w:rPr>
            </w:pPr>
            <w:r>
              <w:rPr>
                <w:rFonts w:hint="eastAsia" w:ascii="仿宋" w:hAnsi="仿宋" w:eastAsia="仿宋" w:cs="仿宋_GB2312"/>
                <w:bCs/>
                <w:sz w:val="24"/>
              </w:rPr>
              <w:t>证明材料：提供应急响应承诺函，安全事件应急响应服务时间以投标企业注册地址至被测评单位主流导航地图截图为准。</w:t>
            </w:r>
          </w:p>
        </w:tc>
      </w:tr>
    </w:tbl>
    <w:p>
      <w:pPr>
        <w:snapToGrid w:val="0"/>
        <w:spacing w:line="480" w:lineRule="exact"/>
        <w:ind w:firstLine="241" w:firstLineChars="100"/>
        <w:outlineLvl w:val="1"/>
        <w:rPr>
          <w:rFonts w:ascii="宋体"/>
          <w:b/>
          <w:bCs/>
          <w:color w:val="auto"/>
          <w:sz w:val="24"/>
          <w:szCs w:val="24"/>
          <w:highlight w:val="none"/>
        </w:rPr>
      </w:pPr>
    </w:p>
    <w:p>
      <w:pPr>
        <w:snapToGrid w:val="0"/>
        <w:spacing w:line="480" w:lineRule="exact"/>
        <w:ind w:firstLine="241" w:firstLineChars="100"/>
        <w:outlineLvl w:val="1"/>
        <w:rPr>
          <w:rFonts w:ascii="宋体" w:cs="宋体"/>
          <w:b/>
          <w:bCs/>
          <w:color w:val="auto"/>
          <w:sz w:val="24"/>
          <w:szCs w:val="24"/>
          <w:highlight w:val="none"/>
        </w:rPr>
      </w:pPr>
      <w:r>
        <w:rPr>
          <w:rFonts w:hint="eastAsia" w:ascii="宋体" w:hAnsi="宋体" w:cs="宋体"/>
          <w:b/>
          <w:bCs/>
          <w:color w:val="auto"/>
          <w:sz w:val="24"/>
          <w:szCs w:val="24"/>
          <w:highlight w:val="none"/>
        </w:rPr>
        <w:t>（二）商务报价响应评分：（</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p>
      <w:pPr>
        <w:snapToGrid w:val="0"/>
        <w:spacing w:line="480" w:lineRule="exact"/>
        <w:ind w:firstLine="482" w:firstLineChars="200"/>
        <w:rPr>
          <w:rFonts w:ascii="宋体" w:cs="宋体"/>
          <w:b/>
          <w:color w:val="auto"/>
          <w:sz w:val="24"/>
          <w:szCs w:val="24"/>
          <w:highlight w:val="none"/>
        </w:rPr>
      </w:pPr>
      <w:r>
        <w:rPr>
          <w:rFonts w:hint="eastAsia" w:ascii="宋体" w:hAnsi="宋体" w:cs="宋体"/>
          <w:b/>
          <w:color w:val="auto"/>
          <w:sz w:val="24"/>
          <w:szCs w:val="24"/>
          <w:highlight w:val="none"/>
        </w:rPr>
        <w:t>本次项目最高限价</w:t>
      </w:r>
      <w:r>
        <w:rPr>
          <w:rFonts w:hint="eastAsia" w:ascii="宋体" w:hAnsi="宋体" w:cs="宋体"/>
          <w:b/>
          <w:color w:val="auto"/>
          <w:sz w:val="24"/>
          <w:szCs w:val="24"/>
          <w:highlight w:val="yellow"/>
        </w:rPr>
        <w:t>为</w:t>
      </w:r>
      <w:r>
        <w:rPr>
          <w:rFonts w:hint="eastAsia"/>
          <w:b/>
          <w:bCs/>
          <w:color w:val="auto"/>
          <w:sz w:val="24"/>
          <w:highlight w:val="yellow"/>
          <w:lang w:val="en-US" w:eastAsia="zh-CN"/>
        </w:rPr>
        <w:t>10.1万元</w:t>
      </w:r>
      <w:r>
        <w:rPr>
          <w:rFonts w:hint="eastAsia" w:ascii="宋体" w:hAnsi="宋体" w:cs="宋体"/>
          <w:b/>
          <w:color w:val="auto"/>
          <w:sz w:val="24"/>
          <w:szCs w:val="24"/>
          <w:highlight w:val="yellow"/>
        </w:rPr>
        <w:t>，报</w:t>
      </w:r>
      <w:r>
        <w:rPr>
          <w:rFonts w:hint="eastAsia" w:ascii="宋体" w:hAnsi="宋体" w:cs="宋体"/>
          <w:b/>
          <w:color w:val="auto"/>
          <w:sz w:val="24"/>
          <w:szCs w:val="24"/>
          <w:highlight w:val="none"/>
        </w:rPr>
        <w:t>价不得超过限价，否则做无效投标处理。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满足磋商文件要求且最后报价最低的供应商的价格为磋商基准价，其商务报价</w:t>
      </w:r>
      <w:r>
        <w:rPr>
          <w:rFonts w:hint="eastAsia" w:ascii="宋体" w:hAnsi="宋体" w:cs="宋体"/>
          <w:color w:val="auto"/>
          <w:kern w:val="0"/>
          <w:sz w:val="24"/>
          <w:szCs w:val="24"/>
          <w:highlight w:val="none"/>
        </w:rPr>
        <w:t>响应</w:t>
      </w:r>
      <w:r>
        <w:rPr>
          <w:rFonts w:hint="eastAsia" w:ascii="宋体" w:hAnsi="宋体" w:cs="宋体"/>
          <w:color w:val="auto"/>
          <w:sz w:val="24"/>
          <w:szCs w:val="24"/>
          <w:highlight w:val="none"/>
        </w:rPr>
        <w:t>分为满分</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分。其他供应商的商务报价</w:t>
      </w:r>
      <w:r>
        <w:rPr>
          <w:rFonts w:hint="eastAsia" w:ascii="宋体" w:hAnsi="宋体" w:cs="宋体"/>
          <w:color w:val="auto"/>
          <w:kern w:val="0"/>
          <w:sz w:val="24"/>
          <w:szCs w:val="24"/>
          <w:highlight w:val="none"/>
        </w:rPr>
        <w:t>响应</w:t>
      </w:r>
      <w:r>
        <w:rPr>
          <w:rFonts w:hint="eastAsia" w:ascii="宋体" w:hAnsi="宋体" w:cs="宋体"/>
          <w:color w:val="auto"/>
          <w:sz w:val="24"/>
          <w:szCs w:val="24"/>
          <w:highlight w:val="none"/>
        </w:rPr>
        <w:t>分统一按照下列公式计算：</w:t>
      </w:r>
    </w:p>
    <w:p>
      <w:pPr>
        <w:snapToGrid w:val="0"/>
        <w:spacing w:line="480" w:lineRule="exact"/>
        <w:ind w:firstLine="482" w:firstLineChars="200"/>
        <w:rPr>
          <w:rFonts w:ascii="宋体" w:cs="宋体"/>
          <w:b/>
          <w:color w:val="auto"/>
          <w:sz w:val="24"/>
          <w:szCs w:val="24"/>
          <w:highlight w:val="none"/>
        </w:rPr>
      </w:pPr>
      <w:r>
        <w:rPr>
          <w:rFonts w:hint="eastAsia" w:ascii="宋体" w:hAnsi="宋体" w:cs="宋体"/>
          <w:b/>
          <w:color w:val="auto"/>
          <w:sz w:val="24"/>
          <w:szCs w:val="24"/>
          <w:highlight w:val="none"/>
        </w:rPr>
        <w:t>商务报价</w:t>
      </w:r>
      <w:r>
        <w:rPr>
          <w:rFonts w:hint="eastAsia" w:ascii="宋体" w:hAnsi="宋体" w:cs="宋体"/>
          <w:b/>
          <w:color w:val="auto"/>
          <w:kern w:val="0"/>
          <w:sz w:val="24"/>
          <w:szCs w:val="24"/>
          <w:highlight w:val="none"/>
        </w:rPr>
        <w:t>响应</w:t>
      </w:r>
      <w:r>
        <w:rPr>
          <w:rFonts w:hint="eastAsia" w:ascii="宋体" w:hAnsi="宋体" w:cs="宋体"/>
          <w:b/>
          <w:color w:val="auto"/>
          <w:sz w:val="24"/>
          <w:szCs w:val="24"/>
          <w:highlight w:val="none"/>
        </w:rPr>
        <w:t>分</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（磋商基准价</w:t>
      </w:r>
      <w:r>
        <w:rPr>
          <w:rFonts w:ascii="宋体" w:hAnsi="宋体" w:cs="宋体"/>
          <w:b/>
          <w:color w:val="auto"/>
          <w:sz w:val="24"/>
          <w:szCs w:val="24"/>
          <w:highlight w:val="none"/>
        </w:rPr>
        <w:t>/</w:t>
      </w:r>
      <w:r>
        <w:rPr>
          <w:rFonts w:hint="eastAsia" w:ascii="宋体" w:hAnsi="宋体" w:cs="宋体"/>
          <w:b/>
          <w:color w:val="auto"/>
          <w:sz w:val="24"/>
          <w:szCs w:val="24"/>
          <w:highlight w:val="none"/>
        </w:rPr>
        <w:t>最后磋商报价）×</w:t>
      </w:r>
      <w:r>
        <w:rPr>
          <w:rFonts w:hint="eastAsia" w:ascii="宋体" w:hAnsi="宋体" w:cs="宋体"/>
          <w:b/>
          <w:color w:val="auto"/>
          <w:sz w:val="24"/>
          <w:szCs w:val="24"/>
          <w:highlight w:val="none"/>
          <w:lang w:val="en-US" w:eastAsia="zh-CN"/>
        </w:rPr>
        <w:t>30</w:t>
      </w:r>
      <w:r>
        <w:rPr>
          <w:rFonts w:ascii="宋体" w:hAnsi="宋体" w:cs="宋体"/>
          <w:b/>
          <w:color w:val="auto"/>
          <w:sz w:val="24"/>
          <w:szCs w:val="24"/>
          <w:highlight w:val="none"/>
        </w:rPr>
        <w:t>%</w:t>
      </w:r>
      <w:r>
        <w:rPr>
          <w:rFonts w:hint="eastAsia" w:ascii="宋体" w:hAnsi="宋体" w:cs="宋体"/>
          <w:b/>
          <w:color w:val="auto"/>
          <w:sz w:val="24"/>
          <w:szCs w:val="24"/>
          <w:highlight w:val="none"/>
        </w:rPr>
        <w:t>×</w:t>
      </w:r>
      <w:r>
        <w:rPr>
          <w:rFonts w:ascii="宋体" w:hAnsi="宋体" w:cs="宋体"/>
          <w:b/>
          <w:color w:val="auto"/>
          <w:sz w:val="24"/>
          <w:szCs w:val="24"/>
          <w:highlight w:val="none"/>
        </w:rPr>
        <w:t>100</w:t>
      </w:r>
    </w:p>
    <w:p>
      <w:pPr>
        <w:snapToGrid w:val="0"/>
        <w:spacing w:line="480" w:lineRule="exact"/>
        <w:ind w:firstLine="487" w:firstLineChars="202"/>
        <w:jc w:val="left"/>
        <w:rPr>
          <w:rFonts w:hint="eastAsia"/>
          <w:b/>
          <w:bCs/>
          <w:color w:val="auto"/>
          <w:sz w:val="24"/>
          <w:szCs w:val="24"/>
          <w:highlight w:val="none"/>
        </w:rPr>
      </w:pPr>
      <w:r>
        <w:rPr>
          <w:rFonts w:hint="eastAsia"/>
          <w:b/>
          <w:bCs/>
          <w:color w:val="auto"/>
          <w:sz w:val="24"/>
          <w:szCs w:val="24"/>
          <w:highlight w:val="none"/>
        </w:rPr>
        <w:t>六、出现下列情形之一的，作无效响应处理</w:t>
      </w:r>
    </w:p>
    <w:p>
      <w:pPr>
        <w:snapToGrid w:val="0"/>
        <w:spacing w:line="480" w:lineRule="exact"/>
        <w:ind w:firstLine="484" w:firstLineChars="202"/>
        <w:jc w:val="left"/>
        <w:rPr>
          <w:rFonts w:hint="eastAsia"/>
          <w:color w:val="auto"/>
          <w:sz w:val="24"/>
          <w:szCs w:val="24"/>
          <w:highlight w:val="none"/>
        </w:rPr>
      </w:pPr>
      <w:r>
        <w:rPr>
          <w:rFonts w:hint="eastAsia"/>
          <w:color w:val="auto"/>
          <w:sz w:val="24"/>
          <w:szCs w:val="24"/>
          <w:highlight w:val="none"/>
        </w:rPr>
        <w:t>1、响应文件未按磋商文件要求密封、签署、盖章及主要资料不齐全的；</w:t>
      </w:r>
    </w:p>
    <w:p>
      <w:pPr>
        <w:snapToGrid w:val="0"/>
        <w:spacing w:line="480" w:lineRule="exact"/>
        <w:ind w:firstLine="484" w:firstLineChars="202"/>
        <w:jc w:val="left"/>
        <w:rPr>
          <w:rFonts w:hint="eastAsia"/>
          <w:color w:val="auto"/>
          <w:sz w:val="24"/>
          <w:szCs w:val="24"/>
          <w:highlight w:val="none"/>
        </w:rPr>
      </w:pPr>
      <w:r>
        <w:rPr>
          <w:rFonts w:hint="eastAsia"/>
          <w:color w:val="auto"/>
          <w:sz w:val="24"/>
          <w:szCs w:val="24"/>
          <w:highlight w:val="none"/>
        </w:rPr>
        <w:t>2、响应文件的资料有虚报或者谎报的；</w:t>
      </w:r>
    </w:p>
    <w:p>
      <w:pPr>
        <w:snapToGrid w:val="0"/>
        <w:spacing w:line="480" w:lineRule="exact"/>
        <w:ind w:firstLine="484" w:firstLineChars="202"/>
        <w:jc w:val="left"/>
        <w:rPr>
          <w:rFonts w:ascii="宋体" w:cs="宋体"/>
          <w:color w:val="auto"/>
          <w:sz w:val="24"/>
          <w:szCs w:val="24"/>
          <w:highlight w:val="none"/>
        </w:rPr>
      </w:pPr>
      <w:r>
        <w:rPr>
          <w:rFonts w:hint="eastAsia"/>
          <w:color w:val="auto"/>
          <w:sz w:val="24"/>
          <w:szCs w:val="24"/>
          <w:highlight w:val="none"/>
        </w:rPr>
        <w:t>3、响应文件中资格审查</w:t>
      </w:r>
      <w:r>
        <w:rPr>
          <w:rFonts w:hint="eastAsia" w:ascii="宋体" w:hAnsi="宋体" w:cs="宋体"/>
          <w:color w:val="auto"/>
          <w:sz w:val="24"/>
          <w:szCs w:val="24"/>
          <w:highlight w:val="none"/>
        </w:rPr>
        <w:t>文件及技术响应文件出现磋商报价的内容；</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、不具备磋商文件规定的资格要求的；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、响应文件有重大漏项或重大不合理的；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、项目技术、方案不满足项目需求中的要求，有重大偏离或保留的；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、磋商响应报价超出项目预算的；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、被认定为低于成本报价磋商竞标的；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、供应商的磋商报价高于自己前一轮的；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、不符合法律、法规和磋商文件中规定的其他实质性响应要求的；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、磋商小组依据法律法规可以认定为无效投标的其他情况。</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七、出现下列情形之一的，作废标处理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、供应商的报价均超出了采购预算，采购单位不能支付的；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、因情况变化，不再符合规定的竞争性磋商采购方式所适用情形的；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、出现影响采购公正的违法、违规行为的；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、磋商小组依据法律法规可以认定为废标的其他情况。</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八、成交通知</w:t>
      </w:r>
    </w:p>
    <w:p>
      <w:pPr>
        <w:spacing w:line="480" w:lineRule="exact"/>
        <w:ind w:firstLine="480" w:firstLineChars="200"/>
        <w:rPr>
          <w:rFonts w:ascii="宋体" w:cs="宋体"/>
          <w:color w:val="auto"/>
          <w:kern w:val="0"/>
          <w:sz w:val="24"/>
          <w:szCs w:val="24"/>
          <w:highlight w:val="none"/>
        </w:rPr>
      </w:pPr>
      <w:r>
        <w:rPr>
          <w:rFonts w:hint="eastAsia"/>
          <w:color w:val="auto"/>
          <w:kern w:val="0"/>
          <w:sz w:val="24"/>
          <w:szCs w:val="24"/>
          <w:highlight w:val="none"/>
        </w:rPr>
        <w:t>成交结果在</w:t>
      </w:r>
      <w:r>
        <w:rPr>
          <w:rFonts w:hint="eastAsia" w:ascii="宋体" w:hAnsi="宋体" w:cs="宋体"/>
          <w:color w:val="auto"/>
          <w:sz w:val="24"/>
          <w:szCs w:val="24"/>
          <w:highlight w:val="none"/>
        </w:rPr>
        <w:t>南通市</w:t>
      </w:r>
      <w:r>
        <w:rPr>
          <w:rFonts w:hint="eastAsia" w:ascii="宋体" w:hAnsi="宋体" w:cs="宋体"/>
          <w:color w:val="auto"/>
          <w:sz w:val="24"/>
          <w:szCs w:val="24"/>
          <w:highlight w:val="none"/>
          <w:lang w:eastAsia="zh-CN"/>
        </w:rPr>
        <w:t>南通市第三人民医院官网</w:t>
      </w:r>
      <w:r>
        <w:rPr>
          <w:rFonts w:hint="eastAsia"/>
          <w:color w:val="auto"/>
          <w:kern w:val="0"/>
          <w:sz w:val="24"/>
          <w:szCs w:val="24"/>
          <w:highlight w:val="none"/>
        </w:rPr>
        <w:t>公示</w:t>
      </w:r>
      <w:r>
        <w:rPr>
          <w:rFonts w:hint="eastAsia"/>
          <w:color w:val="auto"/>
          <w:kern w:val="0"/>
          <w:sz w:val="24"/>
          <w:szCs w:val="24"/>
          <w:highlight w:val="none"/>
          <w:lang w:val="en-US" w:eastAsia="zh-CN"/>
        </w:rPr>
        <w:t>1</w:t>
      </w:r>
      <w:r>
        <w:rPr>
          <w:rFonts w:hint="eastAsia"/>
          <w:color w:val="auto"/>
          <w:kern w:val="0"/>
          <w:sz w:val="24"/>
          <w:szCs w:val="24"/>
          <w:highlight w:val="none"/>
        </w:rPr>
        <w:t>个工作日。《成交通知书》一经发出，采购单位改变成交结果，或者成交供应商放弃成交的，各自承担相应的法律责任。《成交通知书》是采购合同的组成部分。</w:t>
      </w:r>
    </w:p>
    <w:bookmarkEnd w:id="62"/>
    <w:bookmarkEnd w:id="63"/>
    <w:bookmarkEnd w:id="64"/>
    <w:bookmarkEnd w:id="65"/>
    <w:bookmarkEnd w:id="66"/>
    <w:bookmarkEnd w:id="67"/>
    <w:bookmarkEnd w:id="68"/>
    <w:bookmarkEnd w:id="69"/>
    <w:p>
      <w:pPr>
        <w:pStyle w:val="25"/>
        <w:tabs>
          <w:tab w:val="left" w:pos="1050"/>
          <w:tab w:val="right" w:leader="dot" w:pos="9402"/>
        </w:tabs>
        <w:spacing w:line="520" w:lineRule="exact"/>
        <w:ind w:left="0"/>
        <w:jc w:val="center"/>
        <w:outlineLvl w:val="0"/>
        <w:rPr>
          <w:rFonts w:ascii="宋体" w:cs="宋体"/>
          <w:b/>
          <w:i w:val="0"/>
          <w:color w:val="auto"/>
          <w:w w:val="80"/>
          <w:sz w:val="44"/>
          <w:szCs w:val="44"/>
          <w:highlight w:val="none"/>
        </w:rPr>
      </w:pPr>
      <w:bookmarkStart w:id="71" w:name="_Toc363573858"/>
      <w:bookmarkStart w:id="72" w:name="_Toc94585343"/>
      <w:r>
        <w:rPr>
          <w:rFonts w:ascii="宋体" w:cs="宋体"/>
          <w:color w:val="auto"/>
          <w:w w:val="80"/>
          <w:sz w:val="24"/>
          <w:szCs w:val="24"/>
          <w:highlight w:val="none"/>
        </w:rPr>
        <w:br w:type="page"/>
      </w:r>
      <w:r>
        <w:rPr>
          <w:rFonts w:hint="eastAsia" w:ascii="宋体" w:hAnsi="宋体" w:cs="宋体"/>
          <w:b/>
          <w:i w:val="0"/>
          <w:color w:val="auto"/>
          <w:w w:val="80"/>
          <w:sz w:val="44"/>
          <w:szCs w:val="44"/>
          <w:highlight w:val="none"/>
        </w:rPr>
        <w:t>第</w:t>
      </w:r>
      <w:r>
        <w:rPr>
          <w:rFonts w:hint="eastAsia" w:ascii="宋体" w:hAnsi="宋体" w:cs="宋体"/>
          <w:b/>
          <w:i w:val="0"/>
          <w:color w:val="auto"/>
          <w:w w:val="80"/>
          <w:sz w:val="44"/>
          <w:szCs w:val="44"/>
          <w:highlight w:val="none"/>
          <w:lang w:val="en-US" w:eastAsia="zh-CN"/>
        </w:rPr>
        <w:t>五</w:t>
      </w:r>
      <w:r>
        <w:rPr>
          <w:rFonts w:hint="eastAsia" w:ascii="宋体" w:hAnsi="宋体" w:cs="宋体"/>
          <w:b/>
          <w:i w:val="0"/>
          <w:color w:val="auto"/>
          <w:w w:val="80"/>
          <w:sz w:val="44"/>
          <w:szCs w:val="44"/>
          <w:highlight w:val="none"/>
        </w:rPr>
        <w:t>章</w:t>
      </w:r>
      <w:r>
        <w:rPr>
          <w:rFonts w:ascii="宋体" w:hAnsi="宋体" w:cs="宋体"/>
          <w:b/>
          <w:i w:val="0"/>
          <w:color w:val="auto"/>
          <w:w w:val="80"/>
          <w:sz w:val="44"/>
          <w:szCs w:val="44"/>
          <w:highlight w:val="none"/>
        </w:rPr>
        <w:t xml:space="preserve">   </w:t>
      </w:r>
      <w:r>
        <w:rPr>
          <w:rFonts w:hint="eastAsia" w:ascii="宋体" w:hAnsi="宋体" w:cs="宋体"/>
          <w:b/>
          <w:i w:val="0"/>
          <w:color w:val="auto"/>
          <w:w w:val="80"/>
          <w:sz w:val="44"/>
          <w:szCs w:val="44"/>
          <w:highlight w:val="none"/>
        </w:rPr>
        <w:t>合同授予</w:t>
      </w:r>
    </w:p>
    <w:p>
      <w:pPr>
        <w:spacing w:line="520" w:lineRule="exact"/>
        <w:ind w:firstLine="484" w:firstLineChars="202"/>
        <w:rPr>
          <w:rFonts w:ascii="宋体" w:cs="宋体"/>
          <w:color w:val="auto"/>
          <w:kern w:val="0"/>
          <w:sz w:val="24"/>
          <w:szCs w:val="24"/>
          <w:highlight w:val="none"/>
        </w:rPr>
      </w:pPr>
      <w:r>
        <w:rPr>
          <w:rFonts w:hint="eastAsia" w:ascii="宋体" w:hAnsi="宋体" w:cs="宋体"/>
          <w:color w:val="auto"/>
          <w:sz w:val="24"/>
          <w:szCs w:val="24"/>
          <w:highlight w:val="none"/>
        </w:rPr>
        <w:t>一、成交供应商在《成交通知书》发出后</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日内必须按照磋商文件确定的事项签订采购合同。合同一式肆份，采购人，供应商</w:t>
      </w:r>
      <w:r>
        <w:rPr>
          <w:rFonts w:hint="eastAsia" w:ascii="宋体" w:hAnsi="宋体"/>
          <w:color w:val="auto"/>
          <w:sz w:val="24"/>
          <w:szCs w:val="24"/>
          <w:highlight w:val="none"/>
        </w:rPr>
        <w:t>各两份</w:t>
      </w:r>
      <w:r>
        <w:rPr>
          <w:rFonts w:hint="eastAsia" w:ascii="宋体" w:hAnsi="宋体" w:cs="宋体"/>
          <w:color w:val="auto"/>
          <w:kern w:val="0"/>
          <w:sz w:val="24"/>
          <w:szCs w:val="24"/>
          <w:highlight w:val="none"/>
        </w:rPr>
        <w:t>。所签合同不得对磋商文件作实质性修改。采购单位不得向成交供应商提出不合理的要求作为签订合同的条件，不得与成交供应商私下订立背离磋商文件实质性内容的协议。</w:t>
      </w:r>
      <w:r>
        <w:rPr>
          <w:rFonts w:ascii="宋体" w:hAnsi="宋体" w:cs="宋体"/>
          <w:color w:val="auto"/>
          <w:kern w:val="0"/>
          <w:sz w:val="24"/>
          <w:szCs w:val="24"/>
          <w:highlight w:val="none"/>
        </w:rPr>
        <w:t xml:space="preserve"> </w:t>
      </w:r>
    </w:p>
    <w:p>
      <w:pPr>
        <w:snapToGrid w:val="0"/>
        <w:spacing w:line="480" w:lineRule="exact"/>
        <w:ind w:firstLine="573"/>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二、采购单位按合同约定积极配合成交供应商履约，成交供应商履约到位后，请以书面形式向采购单位提出验收申请，采购单位接到申请后原则上在</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个工作日内及时组织相关专业技术人员，必要时邀请质检等部门共同参与验收，并出具验收报告，验收合格的原则上</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个工作日内支付相应款项。</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四、成交供应商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五、按采购合同约定支付的货款。</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六、不响应付款方式的，视同响应文件无效，按无效响应文件处理。</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七、付款方式详见磋商文件第五章。</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八、以上项目款的支付不计息。</w:t>
      </w:r>
    </w:p>
    <w:p>
      <w:pPr>
        <w:pStyle w:val="5"/>
        <w:keepNext w:val="0"/>
        <w:keepLines w:val="0"/>
        <w:snapToGrid w:val="0"/>
        <w:spacing w:before="0" w:after="0" w:line="360" w:lineRule="auto"/>
        <w:jc w:val="center"/>
        <w:rPr>
          <w:rFonts w:ascii="宋体" w:cs="宋体"/>
          <w:b w:val="0"/>
          <w:color w:val="auto"/>
          <w:sz w:val="24"/>
          <w:szCs w:val="24"/>
          <w:highlight w:val="none"/>
        </w:rPr>
      </w:pPr>
      <w:r>
        <w:rPr>
          <w:rFonts w:ascii="宋体" w:cs="宋体"/>
          <w:b w:val="0"/>
          <w:i/>
          <w:color w:val="auto"/>
          <w:sz w:val="24"/>
          <w:szCs w:val="24"/>
          <w:highlight w:val="none"/>
        </w:rPr>
        <w:br w:type="page"/>
      </w:r>
      <w:r>
        <w:rPr>
          <w:rFonts w:hint="eastAsia" w:ascii="宋体" w:hAnsi="宋体" w:cs="宋体"/>
          <w:color w:val="auto"/>
          <w:w w:val="80"/>
          <w:kern w:val="2"/>
          <w:szCs w:val="44"/>
          <w:highlight w:val="none"/>
        </w:rPr>
        <w:t>第</w:t>
      </w:r>
      <w:r>
        <w:rPr>
          <w:rFonts w:hint="eastAsia" w:ascii="宋体" w:hAnsi="宋体" w:cs="宋体"/>
          <w:color w:val="auto"/>
          <w:w w:val="80"/>
          <w:kern w:val="2"/>
          <w:szCs w:val="44"/>
          <w:highlight w:val="none"/>
          <w:lang w:val="en-US" w:eastAsia="zh-CN"/>
        </w:rPr>
        <w:t>六</w:t>
      </w:r>
      <w:r>
        <w:rPr>
          <w:rFonts w:hint="eastAsia" w:ascii="宋体" w:hAnsi="宋体" w:cs="宋体"/>
          <w:color w:val="auto"/>
          <w:w w:val="80"/>
          <w:kern w:val="2"/>
          <w:szCs w:val="44"/>
          <w:highlight w:val="none"/>
        </w:rPr>
        <w:t>章</w:t>
      </w:r>
      <w:r>
        <w:rPr>
          <w:rFonts w:ascii="宋体" w:hAnsi="宋体" w:cs="宋体"/>
          <w:color w:val="auto"/>
          <w:w w:val="80"/>
          <w:kern w:val="2"/>
          <w:szCs w:val="44"/>
          <w:highlight w:val="none"/>
        </w:rPr>
        <w:t xml:space="preserve"> </w:t>
      </w:r>
      <w:r>
        <w:rPr>
          <w:rFonts w:hint="eastAsia" w:ascii="宋体" w:hAnsi="宋体" w:cs="宋体"/>
          <w:color w:val="auto"/>
          <w:w w:val="80"/>
          <w:kern w:val="2"/>
          <w:szCs w:val="44"/>
          <w:highlight w:val="none"/>
        </w:rPr>
        <w:t>质疑提出和处理</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一、质疑的提出</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、质疑人必须是直接参加本次磋商活动的当事人。</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、下载磋商文件的供应商应根据第二章“磋商供应商须知”中第一条第</w:t>
      </w:r>
      <w:r>
        <w:rPr>
          <w:rFonts w:ascii="宋体" w:hAnsi="宋体" w:cs="宋体"/>
          <w:color w:val="auto"/>
          <w:sz w:val="24"/>
          <w:szCs w:val="24"/>
          <w:highlight w:val="none"/>
        </w:rPr>
        <w:t>4</w:t>
      </w:r>
      <w:r>
        <w:rPr>
          <w:rFonts w:hint="eastAsia" w:ascii="宋体" w:hAnsi="宋体" w:cs="宋体"/>
          <w:color w:val="auto"/>
          <w:sz w:val="24"/>
          <w:szCs w:val="24"/>
          <w:highlight w:val="none"/>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cs="宋体"/>
          <w:color w:val="auto"/>
          <w:sz w:val="24"/>
          <w:szCs w:val="24"/>
          <w:highlight w:val="none"/>
        </w:rPr>
      </w:pPr>
      <w:r>
        <w:rPr>
          <w:rFonts w:hint="eastAsia" w:ascii="宋体" w:hAnsi="宋体" w:cs="宋体"/>
          <w:color w:val="auto"/>
          <w:sz w:val="24"/>
          <w:szCs w:val="24"/>
          <w:highlight w:val="none"/>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cs="宋体"/>
          <w:color w:val="auto"/>
          <w:sz w:val="24"/>
          <w:szCs w:val="24"/>
          <w:highlight w:val="none"/>
        </w:rPr>
      </w:pPr>
      <w:r>
        <w:rPr>
          <w:rFonts w:hint="eastAsia" w:ascii="宋体" w:hAnsi="宋体" w:cs="宋体"/>
          <w:color w:val="auto"/>
          <w:sz w:val="24"/>
          <w:szCs w:val="24"/>
          <w:highlight w:val="none"/>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cs="宋体"/>
          <w:color w:val="auto"/>
          <w:sz w:val="24"/>
          <w:szCs w:val="24"/>
          <w:highlight w:val="none"/>
        </w:rPr>
      </w:pPr>
      <w:r>
        <w:rPr>
          <w:rFonts w:hint="eastAsia" w:ascii="宋体" w:hAnsi="宋体" w:cs="宋体"/>
          <w:color w:val="auto"/>
          <w:sz w:val="24"/>
          <w:szCs w:val="24"/>
          <w:highlight w:val="none"/>
        </w:rPr>
        <w:t>采购单位或采购代理机构不负责搜集相关佐证材料等工作。</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二、《质疑函》的受理和回复</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、《质疑函》须由质疑人的法定代表人或参加本次磋商被授权人送达采购单位和采购代理机构。</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、采购单位、采购代理机构负责将质疑人提出的质疑相关材料提供给相关专家或评审小组审核，并将审核意见回复质疑人。</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三、质疑处理</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、质疑不成立的处理。</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）质疑人书面《申请撤回质疑函》的，不作违约处理。</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）质疑人在规定的时间内不配合进行质疑调查处理的，按自动撤回《质疑函》处理。</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）质疑人不按《质疑函》格式就提出质疑的，作违约处理。同时，视情列入不良供应商名单。</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color w:val="auto"/>
          <w:sz w:val="24"/>
          <w:szCs w:val="24"/>
          <w:highlight w:val="none"/>
        </w:rPr>
        <w:t>1</w:t>
      </w:r>
      <w:r>
        <w:rPr>
          <w:rFonts w:hint="eastAsia" w:ascii="宋体" w:hAnsi="宋体" w:cs="宋体"/>
          <w:color w:val="auto"/>
          <w:sz w:val="24"/>
          <w:szCs w:val="24"/>
          <w:highlight w:val="none"/>
        </w:rPr>
        <w:t>年内禁入本区域内的采购活动的违约处理，依次类推；视情在相关媒体予以披露。</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）质疑人承担使用虚假材料或恶意方式质疑的法律责任。</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四、无佐证材料的举报作违约处理。供应商不得进行不提供相关佐证材料（含无法查实的如宣传册、媒体报道、猜测、推理等）向有关部门的举报，否则作违约处理。同时对其在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年内禁入由采购单位组织的采购活动的违约处理。</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五、投诉不成立的作违约处理。供应商进行质疑后，采购单位回复质疑不成立，供应商仍进行投诉的，并最终投诉不成立的，作违约处理。采购单位有权对其在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年内禁入由采购单位组织的采购活动的违约处理。</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六、《质疑函》《质疑回复函》，质疑、举报、投诉不成立的等相关情况，视情在相关媒体予以披露。并建议相关采购机构对该供应商同步实施</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七、质疑供应商对采购单位或代理机构的答复不满意或者采购单位或代理机构未在规定的时间内作出答复的，可以在答复期满后</w:t>
      </w:r>
      <w:r>
        <w:rPr>
          <w:rFonts w:ascii="宋体" w:hAnsi="宋体" w:cs="宋体"/>
          <w:color w:val="auto"/>
          <w:sz w:val="24"/>
          <w:szCs w:val="24"/>
          <w:highlight w:val="none"/>
        </w:rPr>
        <w:t>15</w:t>
      </w:r>
      <w:r>
        <w:rPr>
          <w:rFonts w:hint="eastAsia" w:ascii="宋体" w:hAnsi="宋体" w:cs="宋体"/>
          <w:color w:val="auto"/>
          <w:sz w:val="24"/>
          <w:szCs w:val="24"/>
          <w:highlight w:val="none"/>
        </w:rPr>
        <w:t>个工作日内向采购监督管理部门投诉。</w:t>
      </w:r>
    </w:p>
    <w:bookmarkEnd w:id="71"/>
    <w:bookmarkEnd w:id="72"/>
    <w:p>
      <w:pPr>
        <w:pStyle w:val="5"/>
        <w:keepNext w:val="0"/>
        <w:keepLines w:val="0"/>
        <w:snapToGrid w:val="0"/>
        <w:spacing w:before="0" w:afterLines="50" w:line="520" w:lineRule="exact"/>
        <w:ind w:left="420"/>
        <w:jc w:val="center"/>
        <w:rPr>
          <w:rFonts w:ascii="宋体" w:cs="宋体"/>
          <w:color w:val="auto"/>
          <w:sz w:val="24"/>
          <w:szCs w:val="24"/>
          <w:highlight w:val="none"/>
        </w:rPr>
      </w:pPr>
      <w:bookmarkStart w:id="73" w:name="_Toc363573860"/>
      <w:r>
        <w:rPr>
          <w:rFonts w:ascii="宋体" w:cs="宋体"/>
          <w:color w:val="auto"/>
          <w:w w:val="80"/>
          <w:sz w:val="24"/>
          <w:szCs w:val="24"/>
          <w:highlight w:val="none"/>
        </w:rPr>
        <w:br w:type="page"/>
      </w:r>
      <w:r>
        <w:rPr>
          <w:rFonts w:hint="eastAsia" w:ascii="宋体" w:hAnsi="宋体" w:cs="宋体"/>
          <w:color w:val="auto"/>
          <w:w w:val="80"/>
          <w:kern w:val="2"/>
          <w:szCs w:val="44"/>
          <w:highlight w:val="none"/>
        </w:rPr>
        <w:t>第</w:t>
      </w:r>
      <w:r>
        <w:rPr>
          <w:rFonts w:hint="eastAsia" w:ascii="宋体" w:hAnsi="宋体" w:cs="宋体"/>
          <w:color w:val="auto"/>
          <w:w w:val="80"/>
          <w:kern w:val="2"/>
          <w:szCs w:val="44"/>
          <w:highlight w:val="none"/>
          <w:lang w:val="en-US" w:eastAsia="zh-CN"/>
        </w:rPr>
        <w:t>七</w:t>
      </w:r>
      <w:r>
        <w:rPr>
          <w:rFonts w:hint="eastAsia" w:ascii="宋体" w:hAnsi="宋体" w:cs="宋体"/>
          <w:color w:val="auto"/>
          <w:w w:val="80"/>
          <w:kern w:val="2"/>
          <w:szCs w:val="44"/>
          <w:highlight w:val="none"/>
        </w:rPr>
        <w:t>章</w:t>
      </w:r>
      <w:r>
        <w:rPr>
          <w:rFonts w:ascii="宋体" w:hAnsi="宋体" w:cs="宋体"/>
          <w:color w:val="auto"/>
          <w:w w:val="80"/>
          <w:kern w:val="2"/>
          <w:szCs w:val="44"/>
          <w:highlight w:val="none"/>
        </w:rPr>
        <w:t xml:space="preserve">  </w:t>
      </w:r>
      <w:r>
        <w:rPr>
          <w:rFonts w:hint="eastAsia" w:ascii="宋体" w:hAnsi="宋体" w:cs="宋体"/>
          <w:color w:val="auto"/>
          <w:w w:val="80"/>
          <w:kern w:val="2"/>
          <w:szCs w:val="44"/>
          <w:highlight w:val="none"/>
        </w:rPr>
        <w:t>响应文件组成及格式</w:t>
      </w:r>
      <w:bookmarkEnd w:id="73"/>
    </w:p>
    <w:p>
      <w:pPr>
        <w:widowControl/>
        <w:snapToGrid w:val="0"/>
        <w:spacing w:line="360" w:lineRule="auto"/>
        <w:ind w:firstLine="472" w:firstLineChars="196"/>
        <w:jc w:val="left"/>
        <w:rPr>
          <w:rFonts w:ascii="宋体"/>
          <w:b/>
          <w:color w:val="auto"/>
          <w:sz w:val="24"/>
          <w:szCs w:val="24"/>
          <w:highlight w:val="none"/>
        </w:rPr>
      </w:pPr>
      <w:r>
        <w:rPr>
          <w:rFonts w:hint="eastAsia" w:ascii="宋体" w:hAnsi="宋体"/>
          <w:b/>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snapToGrid w:val="0"/>
        <w:spacing w:line="360" w:lineRule="auto"/>
        <w:ind w:firstLine="472" w:firstLineChars="196"/>
        <w:jc w:val="left"/>
        <w:rPr>
          <w:rFonts w:ascii="宋体"/>
          <w:b/>
          <w:color w:val="auto"/>
          <w:sz w:val="24"/>
          <w:szCs w:val="24"/>
          <w:highlight w:val="none"/>
        </w:rPr>
      </w:pPr>
      <w:r>
        <w:rPr>
          <w:rFonts w:hint="eastAsia" w:ascii="宋体" w:hAnsi="宋体"/>
          <w:b/>
          <w:color w:val="auto"/>
          <w:sz w:val="24"/>
          <w:szCs w:val="24"/>
          <w:highlight w:val="none"/>
        </w:rPr>
        <w:t>一、资格审查文件</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rPr>
        <w:t>单独密封</w:t>
      </w:r>
      <w:r>
        <w:rPr>
          <w:rFonts w:hint="eastAsia" w:ascii="宋体" w:hAnsi="宋体" w:cs="宋体"/>
          <w:b/>
          <w:color w:val="auto"/>
          <w:sz w:val="24"/>
          <w:szCs w:val="24"/>
          <w:highlight w:val="none"/>
          <w:lang w:val="zh-CN"/>
        </w:rPr>
        <w:t>）</w:t>
      </w:r>
    </w:p>
    <w:p>
      <w:pPr>
        <w:numPr>
          <w:ilvl w:val="0"/>
          <w:numId w:val="0"/>
        </w:num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投标供应商必须具有独立的法人资格，提供有效的营业执照及税务登记证</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（或者是三证合一的营业执照</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），有能力提供本次采购项目所要求的服务。</w:t>
      </w:r>
    </w:p>
    <w:p>
      <w:pPr>
        <w:snapToGri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投标供应商公安部门网络安全等级保护评估中心颁发的《网络安全等级保护测评机构推荐证书》</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lang w:eastAsia="zh-CN"/>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授权代表与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签订的有效劳动合同复印件</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投标供应商须提供参与本次项目采购活动前三年内，在经营活动中没有重大违法记录的书面《无重大违法记录声明函》（</w:t>
      </w:r>
      <w:r>
        <w:rPr>
          <w:rFonts w:hint="eastAsia" w:ascii="宋体" w:hAnsi="宋体" w:cs="宋体"/>
          <w:color w:val="auto"/>
          <w:sz w:val="24"/>
          <w:szCs w:val="24"/>
          <w:highlight w:val="none"/>
          <w:lang w:eastAsia="zh-CN"/>
        </w:rPr>
        <w:t>格式参见第七章</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关于资格文件的声明函（</w:t>
      </w:r>
      <w:r>
        <w:rPr>
          <w:rFonts w:hint="eastAsia" w:ascii="宋体" w:hAnsi="宋体" w:cs="宋体"/>
          <w:color w:val="auto"/>
          <w:sz w:val="24"/>
          <w:szCs w:val="24"/>
          <w:highlight w:val="none"/>
          <w:lang w:eastAsia="zh-CN"/>
        </w:rPr>
        <w:t>格式参见第七章</w:t>
      </w:r>
      <w:r>
        <w:rPr>
          <w:rFonts w:hint="eastAsia" w:ascii="宋体" w:hAnsi="宋体" w:cs="宋体"/>
          <w:color w:val="auto"/>
          <w:sz w:val="24"/>
          <w:szCs w:val="24"/>
          <w:highlight w:val="none"/>
        </w:rPr>
        <w:t>）。</w:t>
      </w:r>
    </w:p>
    <w:p>
      <w:pPr>
        <w:adjustRightInd w:val="0"/>
        <w:snapToGrid w:val="0"/>
        <w:spacing w:line="360" w:lineRule="auto"/>
        <w:ind w:firstLine="482" w:firstLineChars="200"/>
        <w:contextualSpacing/>
        <w:jc w:val="left"/>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注：以上材料如为复印件均需加盖供应商公章</w:t>
      </w:r>
    </w:p>
    <w:p>
      <w:pPr>
        <w:widowControl/>
        <w:snapToGrid w:val="0"/>
        <w:spacing w:line="360" w:lineRule="auto"/>
        <w:ind w:firstLine="472" w:firstLineChars="196"/>
        <w:jc w:val="left"/>
        <w:rPr>
          <w:rFonts w:ascii="宋体"/>
          <w:b/>
          <w:color w:val="auto"/>
          <w:sz w:val="24"/>
          <w:szCs w:val="24"/>
          <w:highlight w:val="none"/>
        </w:rPr>
      </w:pPr>
      <w:r>
        <w:rPr>
          <w:rFonts w:hint="eastAsia" w:ascii="宋体" w:hAnsi="宋体"/>
          <w:b/>
          <w:color w:val="auto"/>
          <w:sz w:val="24"/>
          <w:szCs w:val="24"/>
          <w:highlight w:val="none"/>
        </w:rPr>
        <w:t>二、技术响应文件（单独密封）</w:t>
      </w:r>
    </w:p>
    <w:p>
      <w:pPr>
        <w:adjustRightInd w:val="0"/>
        <w:snapToGrid w:val="0"/>
        <w:spacing w:line="480" w:lineRule="exact"/>
        <w:ind w:firstLine="484" w:firstLineChars="202"/>
        <w:jc w:val="left"/>
        <w:rPr>
          <w:rFonts w:hint="eastAsia" w:ascii="宋体" w:hAnsi="宋体" w:eastAsia="宋体" w:cs="宋体"/>
          <w:bCs/>
          <w:sz w:val="24"/>
          <w:szCs w:val="24"/>
        </w:rPr>
      </w:pPr>
      <w:r>
        <w:rPr>
          <w:rFonts w:hint="eastAsia" w:ascii="宋体" w:hAnsi="宋体" w:eastAsia="宋体" w:cs="宋体"/>
          <w:bCs/>
          <w:sz w:val="24"/>
          <w:szCs w:val="24"/>
          <w:lang w:eastAsia="zh-CN"/>
        </w:rPr>
        <w:t>1.</w:t>
      </w:r>
      <w:r>
        <w:rPr>
          <w:rFonts w:hint="eastAsia" w:ascii="宋体" w:hAnsi="宋体" w:eastAsia="宋体" w:cs="宋体"/>
          <w:bCs/>
          <w:sz w:val="24"/>
          <w:szCs w:val="24"/>
        </w:rPr>
        <w:t>磋商文件中所涉及的事项需提供的所有资料；</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eastAsia="宋体" w:cs="宋体"/>
          <w:bCs/>
          <w:sz w:val="24"/>
          <w:szCs w:val="24"/>
          <w:lang w:eastAsia="zh-CN"/>
        </w:rPr>
        <w:t>2.</w:t>
      </w:r>
      <w:r>
        <w:rPr>
          <w:rFonts w:hint="eastAsia" w:ascii="宋体" w:hAnsi="宋体" w:eastAsia="宋体" w:cs="宋体"/>
          <w:bCs/>
          <w:sz w:val="24"/>
          <w:szCs w:val="24"/>
        </w:rPr>
        <w:t>磋商文件中未涉及的事项，</w:t>
      </w:r>
      <w:r>
        <w:rPr>
          <w:rFonts w:hint="eastAsia" w:ascii="宋体" w:hAnsi="宋体" w:eastAsia="宋体" w:cs="宋体"/>
          <w:bCs/>
          <w:sz w:val="24"/>
          <w:szCs w:val="24"/>
          <w:lang w:eastAsia="zh-CN"/>
        </w:rPr>
        <w:t>供应商</w:t>
      </w:r>
      <w:r>
        <w:rPr>
          <w:rFonts w:hint="eastAsia" w:ascii="宋体" w:hAnsi="宋体" w:eastAsia="宋体" w:cs="宋体"/>
          <w:bCs/>
          <w:sz w:val="24"/>
          <w:szCs w:val="24"/>
        </w:rPr>
        <w:t>认为需要提交的其他资料。</w:t>
      </w:r>
    </w:p>
    <w:p>
      <w:pPr>
        <w:adjustRightInd w:val="0"/>
        <w:snapToGrid w:val="0"/>
        <w:spacing w:line="480" w:lineRule="exact"/>
        <w:ind w:firstLine="484" w:firstLineChars="202"/>
        <w:jc w:val="left"/>
        <w:rPr>
          <w:rFonts w:hint="eastAsia" w:ascii="宋体" w:hAnsi="宋体" w:eastAsia="宋体" w:cs="宋体"/>
          <w:bCs/>
          <w:sz w:val="24"/>
          <w:szCs w:val="24"/>
        </w:rPr>
      </w:pPr>
      <w:r>
        <w:rPr>
          <w:rFonts w:hint="eastAsia" w:ascii="宋体" w:hAnsi="宋体" w:eastAsia="宋体" w:cs="宋体"/>
          <w:bCs/>
          <w:sz w:val="24"/>
          <w:szCs w:val="24"/>
        </w:rPr>
        <w:t>注：为方便评委评审，请供应商按评标办法中所涉及的事项顺序进行编制，可以补充相关材料；</w:t>
      </w:r>
    </w:p>
    <w:p>
      <w:pPr>
        <w:adjustRightInd w:val="0"/>
        <w:snapToGrid w:val="0"/>
        <w:spacing w:line="480" w:lineRule="exact"/>
        <w:ind w:firstLine="482" w:firstLineChars="200"/>
        <w:jc w:val="left"/>
        <w:rPr>
          <w:rFonts w:ascii="宋体" w:cs="宋体"/>
          <w:b/>
          <w:color w:val="auto"/>
          <w:sz w:val="24"/>
          <w:szCs w:val="24"/>
          <w:highlight w:val="none"/>
          <w:lang w:val="zh-CN"/>
        </w:rPr>
      </w:pPr>
      <w:r>
        <w:rPr>
          <w:rFonts w:hint="eastAsia" w:ascii="宋体" w:hAnsi="宋体"/>
          <w:b/>
          <w:color w:val="auto"/>
          <w:sz w:val="24"/>
          <w:szCs w:val="24"/>
          <w:highlight w:val="none"/>
          <w:lang w:val="zh-CN"/>
        </w:rPr>
        <w:t>三、</w:t>
      </w:r>
      <w:r>
        <w:rPr>
          <w:rFonts w:hint="eastAsia" w:ascii="宋体" w:hAnsi="宋体"/>
          <w:b/>
          <w:color w:val="auto"/>
          <w:sz w:val="24"/>
          <w:szCs w:val="24"/>
          <w:highlight w:val="none"/>
        </w:rPr>
        <w:t>商务报价响应文件</w:t>
      </w:r>
      <w:r>
        <w:rPr>
          <w:rFonts w:hint="eastAsia" w:ascii="宋体" w:hAnsi="宋体"/>
          <w:b/>
          <w:color w:val="auto"/>
          <w:sz w:val="24"/>
          <w:szCs w:val="24"/>
          <w:highlight w:val="none"/>
          <w:lang w:val="zh-CN"/>
        </w:rPr>
        <w:t>（</w:t>
      </w:r>
      <w:r>
        <w:rPr>
          <w:rFonts w:hint="eastAsia" w:ascii="宋体" w:hAnsi="宋体" w:cs="宋体"/>
          <w:b/>
          <w:bCs/>
          <w:color w:val="auto"/>
          <w:sz w:val="24"/>
          <w:szCs w:val="24"/>
          <w:highlight w:val="none"/>
        </w:rPr>
        <w:t>单独密封</w:t>
      </w:r>
      <w:r>
        <w:rPr>
          <w:rFonts w:hint="eastAsia" w:ascii="宋体" w:hAnsi="宋体" w:cs="宋体"/>
          <w:b/>
          <w:color w:val="auto"/>
          <w:sz w:val="24"/>
          <w:szCs w:val="24"/>
          <w:highlight w:val="none"/>
          <w:lang w:val="zh-CN"/>
        </w:rPr>
        <w:t>）</w:t>
      </w:r>
    </w:p>
    <w:p>
      <w:pPr>
        <w:adjustRightInd w:val="0"/>
        <w:snapToGrid w:val="0"/>
        <w:spacing w:line="48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1、投标响应报价总表（格式参见第七章）；</w:t>
      </w:r>
    </w:p>
    <w:p>
      <w:pPr>
        <w:adjustRightInd w:val="0"/>
        <w:snapToGrid w:val="0"/>
        <w:spacing w:line="48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、投标响应报价</w:t>
      </w:r>
      <w:r>
        <w:rPr>
          <w:rFonts w:hint="eastAsia" w:ascii="宋体" w:hAnsi="宋体" w:cs="宋体"/>
          <w:bCs/>
          <w:color w:val="auto"/>
          <w:sz w:val="24"/>
          <w:szCs w:val="24"/>
          <w:highlight w:val="none"/>
          <w:lang w:val="en-US" w:eastAsia="zh-CN"/>
        </w:rPr>
        <w:t>明细表</w:t>
      </w:r>
      <w:r>
        <w:rPr>
          <w:rFonts w:hint="eastAsia" w:ascii="宋体" w:hAnsi="宋体" w:cs="宋体"/>
          <w:bCs/>
          <w:color w:val="auto"/>
          <w:sz w:val="24"/>
          <w:szCs w:val="24"/>
          <w:highlight w:val="none"/>
          <w:lang w:val="zh-CN"/>
        </w:rPr>
        <w:t>（格式</w:t>
      </w:r>
      <w:r>
        <w:rPr>
          <w:rFonts w:hint="eastAsia" w:ascii="宋体" w:hAnsi="宋体" w:cs="宋体"/>
          <w:bCs/>
          <w:color w:val="auto"/>
          <w:sz w:val="24"/>
          <w:szCs w:val="24"/>
          <w:highlight w:val="none"/>
          <w:lang w:val="en-US" w:eastAsia="zh-CN"/>
        </w:rPr>
        <w:t>自拟</w:t>
      </w:r>
      <w:r>
        <w:rPr>
          <w:rFonts w:hint="eastAsia" w:ascii="宋体" w:hAnsi="宋体" w:cs="宋体"/>
          <w:bCs/>
          <w:color w:val="auto"/>
          <w:sz w:val="24"/>
          <w:szCs w:val="24"/>
          <w:highlight w:val="none"/>
          <w:lang w:val="zh-CN"/>
        </w:rPr>
        <w:t>）。</w:t>
      </w:r>
    </w:p>
    <w:p>
      <w:pPr>
        <w:snapToGrid w:val="0"/>
        <w:spacing w:line="520" w:lineRule="exact"/>
        <w:rPr>
          <w:rFonts w:ascii="宋体" w:cs="宋体"/>
          <w:b/>
          <w:bCs/>
          <w:color w:val="auto"/>
          <w:sz w:val="24"/>
          <w:szCs w:val="24"/>
          <w:highlight w:val="none"/>
        </w:rPr>
      </w:pPr>
      <w:r>
        <w:rPr>
          <w:rFonts w:ascii="宋体" w:cs="宋体"/>
          <w:b/>
          <w:color w:val="auto"/>
          <w:sz w:val="24"/>
          <w:szCs w:val="24"/>
          <w:highlight w:val="none"/>
        </w:rPr>
        <w:br w:type="page"/>
      </w:r>
      <w:r>
        <w:rPr>
          <w:rFonts w:hint="eastAsia" w:ascii="宋体" w:hAnsi="宋体" w:cs="宋体"/>
          <w:b/>
          <w:color w:val="auto"/>
          <w:sz w:val="24"/>
          <w:szCs w:val="24"/>
          <w:highlight w:val="none"/>
        </w:rPr>
        <w:t>附件：</w:t>
      </w:r>
    </w:p>
    <w:p>
      <w:pPr>
        <w:snapToGrid w:val="0"/>
        <w:spacing w:line="520" w:lineRule="exact"/>
        <w:jc w:val="center"/>
        <w:outlineLvl w:val="3"/>
        <w:rPr>
          <w:rFonts w:ascii="宋体" w:cs="宋体"/>
          <w:b/>
          <w:color w:val="auto"/>
          <w:sz w:val="24"/>
          <w:szCs w:val="24"/>
          <w:highlight w:val="none"/>
        </w:rPr>
      </w:pPr>
      <w:r>
        <w:rPr>
          <w:rFonts w:ascii="宋体" w:hAnsi="宋体" w:cs="宋体"/>
          <w:b/>
          <w:color w:val="auto"/>
          <w:sz w:val="24"/>
          <w:szCs w:val="24"/>
          <w:highlight w:val="none"/>
        </w:rPr>
        <w:t>1</w:t>
      </w:r>
      <w:r>
        <w:rPr>
          <w:rFonts w:hint="eastAsia" w:ascii="宋体" w:hAnsi="宋体" w:cs="宋体"/>
          <w:b/>
          <w:color w:val="auto"/>
          <w:sz w:val="24"/>
          <w:szCs w:val="24"/>
          <w:highlight w:val="none"/>
        </w:rPr>
        <w:t>、法定代表人身份证明</w:t>
      </w:r>
    </w:p>
    <w:p>
      <w:pPr>
        <w:snapToGrid w:val="0"/>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（如法定代表人参加磋商，须出示此证明）</w:t>
      </w:r>
    </w:p>
    <w:p>
      <w:pPr>
        <w:snapToGrid w:val="0"/>
        <w:spacing w:line="520" w:lineRule="exact"/>
        <w:jc w:val="center"/>
        <w:rPr>
          <w:rFonts w:ascii="宋体" w:cs="宋体"/>
          <w:color w:val="auto"/>
          <w:sz w:val="24"/>
          <w:szCs w:val="24"/>
          <w:highlight w:val="none"/>
        </w:rPr>
      </w:pPr>
    </w:p>
    <w:p>
      <w:pPr>
        <w:snapToGrid w:val="0"/>
        <w:spacing w:line="520" w:lineRule="exact"/>
        <w:rPr>
          <w:rFonts w:ascii="宋体" w:cs="宋体"/>
          <w:color w:val="auto"/>
          <w:sz w:val="24"/>
          <w:szCs w:val="24"/>
          <w:highlight w:val="none"/>
          <w:u w:val="single"/>
        </w:rPr>
      </w:pPr>
      <w:r>
        <w:rPr>
          <w:rFonts w:hint="eastAsia" w:ascii="宋体" w:hAnsi="宋体" w:cs="宋体"/>
          <w:color w:val="auto"/>
          <w:sz w:val="24"/>
          <w:szCs w:val="24"/>
          <w:highlight w:val="none"/>
          <w:u w:val="single"/>
          <w:lang w:eastAsia="zh-CN"/>
        </w:rPr>
        <w:t>南通市第三人民医院</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我公司法定代表人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参加贵单位组织的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（竞争性磋商项目名称</w:t>
      </w:r>
      <w:r>
        <w:rPr>
          <w:rFonts w:ascii="宋体" w:hAnsi="宋体" w:cs="宋体"/>
          <w:color w:val="auto"/>
          <w:sz w:val="24"/>
          <w:szCs w:val="24"/>
          <w:highlight w:val="none"/>
        </w:rPr>
        <w:t>)</w:t>
      </w:r>
      <w:r>
        <w:rPr>
          <w:rFonts w:hint="eastAsia" w:ascii="宋体" w:hAnsi="宋体" w:cs="宋体"/>
          <w:color w:val="auto"/>
          <w:sz w:val="24"/>
          <w:szCs w:val="24"/>
          <w:highlight w:val="none"/>
        </w:rPr>
        <w:t>项目的磋商活动，全权代表我公司处理竞争性磋商的有关事宜。</w:t>
      </w:r>
    </w:p>
    <w:p>
      <w:pPr>
        <w:snapToGrid w:val="0"/>
        <w:spacing w:line="520" w:lineRule="exact"/>
        <w:rPr>
          <w:rFonts w:ascii="宋体" w:cs="宋体"/>
          <w:color w:val="auto"/>
          <w:sz w:val="24"/>
          <w:szCs w:val="24"/>
          <w:highlight w:val="none"/>
        </w:rPr>
      </w:pPr>
    </w:p>
    <w:p>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附：法定代表人情况：</w:t>
      </w:r>
    </w:p>
    <w:p>
      <w:pPr>
        <w:snapToGrid w:val="0"/>
        <w:spacing w:line="520" w:lineRule="exact"/>
        <w:rPr>
          <w:rFonts w:ascii="宋体" w:cs="宋体"/>
          <w:color w:val="auto"/>
          <w:sz w:val="24"/>
          <w:szCs w:val="24"/>
          <w:highlight w:val="none"/>
          <w:u w:val="single"/>
        </w:rPr>
      </w:pPr>
      <w:r>
        <w:rPr>
          <w:rFonts w:hint="eastAsia" w:ascii="宋体" w:hAnsi="宋体" w:cs="宋体"/>
          <w:color w:val="auto"/>
          <w:sz w:val="24"/>
          <w:szCs w:val="24"/>
          <w:highlight w:val="none"/>
        </w:rPr>
        <w:t>姓名：  性别：  年龄：  职务：</w:t>
      </w:r>
    </w:p>
    <w:p>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身份证号码：</w:t>
      </w:r>
    </w:p>
    <w:p>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 xml:space="preserve">手机： </w:t>
      </w:r>
      <w:r>
        <w:rPr>
          <w:rFonts w:ascii="宋体" w:hAnsi="宋体" w:cs="宋体"/>
          <w:color w:val="auto"/>
          <w:sz w:val="24"/>
          <w:szCs w:val="24"/>
          <w:highlight w:val="none"/>
        </w:rPr>
        <w:t xml:space="preserve">                      </w:t>
      </w:r>
    </w:p>
    <w:p>
      <w:pPr>
        <w:snapToGrid w:val="0"/>
        <w:spacing w:line="520" w:lineRule="exact"/>
        <w:rPr>
          <w:rFonts w:ascii="宋体" w:cs="宋体"/>
          <w:color w:val="auto"/>
          <w:sz w:val="24"/>
          <w:szCs w:val="24"/>
          <w:highlight w:val="none"/>
        </w:rPr>
      </w:pPr>
      <w:r>
        <w:rPr>
          <w:rFonts w:ascii="宋体" w:cs="宋体"/>
          <w:color w:val="auto"/>
          <w:sz w:val="24"/>
          <w:szCs w:val="24"/>
          <w:highlight w:val="none"/>
        </w:rPr>
        <w:t> </w:t>
      </w:r>
    </w:p>
    <w:p>
      <w:pPr>
        <w:snapToGrid w:val="0"/>
        <w:spacing w:line="520" w:lineRule="exact"/>
        <w:rPr>
          <w:rFonts w:ascii="宋体" w:cs="宋体"/>
          <w:color w:val="auto"/>
          <w:sz w:val="24"/>
          <w:szCs w:val="24"/>
          <w:highlight w:val="none"/>
        </w:rPr>
      </w:pPr>
    </w:p>
    <w:p>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单位名称（公章）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法定代表人（签字或盖章）</w:t>
      </w:r>
    </w:p>
    <w:p>
      <w:pPr>
        <w:snapToGrid w:val="0"/>
        <w:spacing w:line="520" w:lineRule="exact"/>
        <w:ind w:firstLine="1200" w:firstLineChars="500"/>
        <w:rPr>
          <w:rFonts w:asci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p>
      <w:pPr>
        <w:snapToGrid w:val="0"/>
        <w:spacing w:line="520" w:lineRule="exact"/>
        <w:rPr>
          <w:rFonts w:ascii="宋体" w:cs="宋体"/>
          <w:color w:val="auto"/>
          <w:sz w:val="24"/>
          <w:szCs w:val="24"/>
          <w:highlight w:val="none"/>
        </w:rPr>
      </w:pPr>
    </w:p>
    <w:p>
      <w:pPr>
        <w:snapToGrid w:val="0"/>
        <w:spacing w:line="520" w:lineRule="exact"/>
        <w:ind w:firstLine="2715" w:firstLineChars="1127"/>
        <w:rPr>
          <w:rFonts w:ascii="宋体" w:cs="宋体"/>
          <w:b/>
          <w:color w:val="auto"/>
          <w:sz w:val="24"/>
          <w:szCs w:val="24"/>
          <w:highlight w:val="none"/>
        </w:rPr>
      </w:pPr>
      <w:r>
        <w:rPr>
          <w:rFonts w:hint="eastAsia" w:ascii="宋体" w:hAnsi="宋体" w:cs="宋体"/>
          <w:b/>
          <w:color w:val="auto"/>
          <w:sz w:val="24"/>
          <w:szCs w:val="24"/>
          <w:highlight w:val="none"/>
        </w:rPr>
        <w:t>法定代表人身份证复印件</w:t>
      </w:r>
    </w:p>
    <w:p>
      <w:pPr>
        <w:snapToGrid w:val="0"/>
        <w:spacing w:line="520" w:lineRule="exact"/>
        <w:rPr>
          <w:rFonts w:ascii="宋体" w:cs="宋体"/>
          <w:color w:val="auto"/>
          <w:sz w:val="24"/>
          <w:szCs w:val="24"/>
          <w:highlight w:val="none"/>
        </w:rPr>
      </w:pPr>
    </w:p>
    <w:p>
      <w:pPr>
        <w:snapToGrid w:val="0"/>
        <w:spacing w:line="520" w:lineRule="exact"/>
        <w:ind w:firstLine="3360" w:firstLineChars="1400"/>
        <w:rPr>
          <w:rFonts w:ascii="宋体" w:cs="宋体"/>
          <w:color w:val="auto"/>
          <w:sz w:val="24"/>
          <w:szCs w:val="24"/>
          <w:highlight w:val="none"/>
        </w:rPr>
      </w:pPr>
      <w:r>
        <w:rPr>
          <w:rFonts w:hint="eastAsia" w:ascii="宋体" w:hAnsi="宋体" w:cs="宋体"/>
          <w:color w:val="auto"/>
          <w:sz w:val="24"/>
          <w:szCs w:val="24"/>
          <w:highlight w:val="none"/>
        </w:rPr>
        <w:t>（粘贴此处）</w:t>
      </w:r>
    </w:p>
    <w:p>
      <w:pPr>
        <w:snapToGrid w:val="0"/>
        <w:spacing w:line="520" w:lineRule="exact"/>
        <w:ind w:firstLine="482" w:firstLineChars="200"/>
        <w:rPr>
          <w:rFonts w:ascii="宋体" w:cs="宋体"/>
          <w:b/>
          <w:bCs/>
          <w:color w:val="auto"/>
          <w:sz w:val="24"/>
          <w:szCs w:val="24"/>
          <w:highlight w:val="none"/>
        </w:rPr>
      </w:pPr>
    </w:p>
    <w:p>
      <w:pPr>
        <w:snapToGrid w:val="0"/>
        <w:spacing w:line="520" w:lineRule="exact"/>
        <w:jc w:val="center"/>
        <w:outlineLvl w:val="3"/>
        <w:rPr>
          <w:rFonts w:ascii="宋体" w:cs="宋体"/>
          <w:b/>
          <w:color w:val="auto"/>
          <w:sz w:val="24"/>
          <w:szCs w:val="24"/>
          <w:highlight w:val="none"/>
        </w:rPr>
      </w:pPr>
      <w:r>
        <w:rPr>
          <w:rFonts w:ascii="宋体" w:cs="宋体"/>
          <w:b/>
          <w:color w:val="auto"/>
          <w:sz w:val="24"/>
          <w:szCs w:val="24"/>
          <w:highlight w:val="none"/>
        </w:rPr>
        <w:br w:type="page"/>
      </w:r>
      <w:r>
        <w:rPr>
          <w:rFonts w:ascii="宋体" w:hAnsi="宋体" w:cs="宋体"/>
          <w:b/>
          <w:color w:val="auto"/>
          <w:sz w:val="24"/>
          <w:szCs w:val="24"/>
          <w:highlight w:val="none"/>
        </w:rPr>
        <w:t>2</w:t>
      </w:r>
      <w:r>
        <w:rPr>
          <w:rFonts w:hint="eastAsia" w:ascii="宋体" w:hAnsi="宋体" w:cs="宋体"/>
          <w:b/>
          <w:color w:val="auto"/>
          <w:sz w:val="24"/>
          <w:szCs w:val="24"/>
          <w:highlight w:val="none"/>
        </w:rPr>
        <w:t>、授权委托书</w:t>
      </w:r>
    </w:p>
    <w:p>
      <w:pPr>
        <w:snapToGrid w:val="0"/>
        <w:spacing w:line="520" w:lineRule="exact"/>
        <w:jc w:val="center"/>
        <w:rPr>
          <w:rFonts w:ascii="宋体" w:cs="宋体"/>
          <w:bCs/>
          <w:color w:val="auto"/>
          <w:sz w:val="24"/>
          <w:szCs w:val="24"/>
          <w:highlight w:val="none"/>
        </w:rPr>
      </w:pPr>
      <w:r>
        <w:rPr>
          <w:rFonts w:hint="eastAsia" w:ascii="宋体" w:hAnsi="宋体" w:cs="宋体"/>
          <w:bCs/>
          <w:color w:val="auto"/>
          <w:sz w:val="24"/>
          <w:szCs w:val="24"/>
          <w:highlight w:val="none"/>
        </w:rPr>
        <w:t>（如被授权人参加磋商，须出示此证明）</w:t>
      </w:r>
    </w:p>
    <w:p>
      <w:pPr>
        <w:snapToGrid w:val="0"/>
        <w:spacing w:line="520" w:lineRule="exact"/>
        <w:jc w:val="center"/>
        <w:rPr>
          <w:rFonts w:ascii="宋体" w:cs="宋体"/>
          <w:bCs/>
          <w:color w:val="auto"/>
          <w:sz w:val="24"/>
          <w:szCs w:val="24"/>
          <w:highlight w:val="none"/>
        </w:rPr>
      </w:pPr>
    </w:p>
    <w:p>
      <w:pPr>
        <w:snapToGrid w:val="0"/>
        <w:spacing w:line="480" w:lineRule="exact"/>
        <w:rPr>
          <w:rFonts w:ascii="宋体" w:cs="宋体"/>
          <w:color w:val="auto"/>
          <w:sz w:val="24"/>
          <w:szCs w:val="24"/>
          <w:highlight w:val="none"/>
          <w:u w:val="single"/>
        </w:rPr>
      </w:pPr>
      <w:r>
        <w:rPr>
          <w:rFonts w:hint="eastAsia" w:ascii="宋体" w:hAnsi="宋体" w:cs="宋体"/>
          <w:color w:val="auto"/>
          <w:sz w:val="24"/>
          <w:szCs w:val="24"/>
          <w:highlight w:val="none"/>
          <w:u w:val="single"/>
          <w:lang w:eastAsia="zh-CN"/>
        </w:rPr>
        <w:t>南通市第三人民医院</w:t>
      </w:r>
      <w:r>
        <w:rPr>
          <w:rFonts w:hint="eastAsia" w:ascii="宋体" w:hAnsi="宋体" w:cs="宋体"/>
          <w:color w:val="auto"/>
          <w:sz w:val="24"/>
          <w:szCs w:val="24"/>
          <w:highlight w:val="none"/>
          <w:u w:val="single"/>
        </w:rPr>
        <w:t>：</w:t>
      </w:r>
    </w:p>
    <w:p>
      <w:pPr>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兹授权</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w:t>
      </w:r>
      <w:r>
        <w:rPr>
          <w:rFonts w:hint="eastAsia" w:hAnsi="宋体" w:cs="宋体"/>
          <w:color w:val="auto"/>
          <w:sz w:val="24"/>
          <w:szCs w:val="24"/>
          <w:highlight w:val="none"/>
        </w:rPr>
        <w:t>被授权人的姓名）代表我公司参加</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hAnsi="宋体" w:cs="宋体"/>
          <w:color w:val="auto"/>
          <w:sz w:val="24"/>
          <w:szCs w:val="24"/>
          <w:highlight w:val="none"/>
        </w:rPr>
        <w:t>（</w:t>
      </w:r>
      <w:r>
        <w:rPr>
          <w:rFonts w:hint="eastAsia" w:ascii="宋体" w:hAnsi="宋体" w:cs="宋体"/>
          <w:color w:val="auto"/>
          <w:sz w:val="24"/>
          <w:szCs w:val="24"/>
          <w:highlight w:val="none"/>
        </w:rPr>
        <w:t>竞争性磋商项目名称</w:t>
      </w:r>
      <w:r>
        <w:rPr>
          <w:rFonts w:hAnsi="宋体" w:cs="宋体"/>
          <w:color w:val="auto"/>
          <w:sz w:val="24"/>
          <w:szCs w:val="24"/>
          <w:highlight w:val="none"/>
        </w:rPr>
        <w:t>)</w:t>
      </w:r>
      <w:r>
        <w:rPr>
          <w:rFonts w:hint="eastAsia" w:hAnsi="宋体" w:cs="宋体"/>
          <w:color w:val="auto"/>
          <w:sz w:val="24"/>
          <w:szCs w:val="24"/>
          <w:highlight w:val="none"/>
        </w:rPr>
        <w:t>项目的采购活动，全权处理一切与该项目采购有关的事务。其在办理上述事宜过程中所签署的所有文件我公司均予以承认。</w:t>
      </w:r>
    </w:p>
    <w:p>
      <w:pPr>
        <w:pStyle w:val="26"/>
        <w:adjustRightInd w:val="0"/>
        <w:snapToGrid w:val="0"/>
        <w:spacing w:line="500" w:lineRule="exact"/>
        <w:ind w:firstLine="480" w:firstLineChars="200"/>
        <w:jc w:val="left"/>
        <w:rPr>
          <w:rFonts w:hAnsi="宋体" w:cs="宋体"/>
          <w:color w:val="auto"/>
          <w:kern w:val="0"/>
          <w:sz w:val="24"/>
          <w:szCs w:val="24"/>
          <w:highlight w:val="none"/>
        </w:rPr>
      </w:pPr>
    </w:p>
    <w:p>
      <w:pPr>
        <w:pStyle w:val="26"/>
        <w:adjustRightInd w:val="0"/>
        <w:snapToGrid w:val="0"/>
        <w:spacing w:line="500" w:lineRule="exact"/>
        <w:ind w:firstLine="480" w:firstLineChars="200"/>
        <w:jc w:val="left"/>
        <w:rPr>
          <w:rFonts w:hAnsi="宋体" w:cs="宋体"/>
          <w:color w:val="auto"/>
          <w:kern w:val="0"/>
          <w:sz w:val="24"/>
          <w:szCs w:val="24"/>
          <w:highlight w:val="none"/>
        </w:rPr>
      </w:pPr>
      <w:r>
        <w:rPr>
          <w:rFonts w:hint="eastAsia" w:hAnsi="宋体" w:cs="宋体"/>
          <w:color w:val="auto"/>
          <w:kern w:val="0"/>
          <w:sz w:val="24"/>
          <w:szCs w:val="24"/>
          <w:highlight w:val="none"/>
        </w:rPr>
        <w:t>被授权人无转委托权，特此委托。</w:t>
      </w:r>
    </w:p>
    <w:p>
      <w:pPr>
        <w:pStyle w:val="26"/>
        <w:adjustRightInd w:val="0"/>
        <w:snapToGrid w:val="0"/>
        <w:spacing w:line="500" w:lineRule="exact"/>
        <w:ind w:firstLine="480" w:firstLineChars="200"/>
        <w:jc w:val="left"/>
        <w:rPr>
          <w:rFonts w:hAnsi="宋体" w:cs="宋体"/>
          <w:color w:val="auto"/>
          <w:kern w:val="0"/>
          <w:sz w:val="24"/>
          <w:szCs w:val="24"/>
          <w:highlight w:val="none"/>
        </w:rPr>
      </w:pPr>
    </w:p>
    <w:p>
      <w:pPr>
        <w:spacing w:line="480" w:lineRule="exact"/>
        <w:rPr>
          <w:rFonts w:hAnsi="宋体" w:cs="宋体"/>
          <w:color w:val="auto"/>
          <w:sz w:val="24"/>
          <w:szCs w:val="24"/>
          <w:highlight w:val="none"/>
        </w:rPr>
      </w:pPr>
      <w:r>
        <w:rPr>
          <w:rFonts w:hint="eastAsia" w:hAnsi="宋体" w:cs="宋体"/>
          <w:color w:val="auto"/>
          <w:sz w:val="24"/>
          <w:szCs w:val="24"/>
          <w:highlight w:val="none"/>
        </w:rPr>
        <w:t>附：被授权人情况：</w:t>
      </w:r>
    </w:p>
    <w:p>
      <w:pPr>
        <w:spacing w:line="480" w:lineRule="exact"/>
        <w:rPr>
          <w:rFonts w:hAnsi="宋体" w:cs="宋体"/>
          <w:color w:val="auto"/>
          <w:sz w:val="24"/>
          <w:szCs w:val="24"/>
          <w:highlight w:val="none"/>
          <w:u w:val="single"/>
        </w:rPr>
      </w:pPr>
      <w:r>
        <w:rPr>
          <w:rFonts w:hint="eastAsia" w:hAnsi="宋体" w:cs="宋体"/>
          <w:color w:val="auto"/>
          <w:sz w:val="24"/>
          <w:szCs w:val="24"/>
          <w:highlight w:val="none"/>
        </w:rPr>
        <w:t xml:space="preserve">姓名：  </w:t>
      </w:r>
      <w:r>
        <w:rPr>
          <w:rFonts w:hAnsi="宋体" w:cs="宋体"/>
          <w:color w:val="auto"/>
          <w:sz w:val="24"/>
          <w:szCs w:val="24"/>
          <w:highlight w:val="none"/>
        </w:rPr>
        <w:t xml:space="preserve"> </w:t>
      </w:r>
      <w:r>
        <w:rPr>
          <w:rFonts w:hint="eastAsia" w:hAnsi="宋体" w:cs="宋体"/>
          <w:color w:val="auto"/>
          <w:sz w:val="24"/>
          <w:szCs w:val="24"/>
          <w:highlight w:val="none"/>
        </w:rPr>
        <w:t>性别：  年龄：  职务：</w:t>
      </w:r>
    </w:p>
    <w:p>
      <w:pPr>
        <w:spacing w:line="480" w:lineRule="exact"/>
        <w:rPr>
          <w:rFonts w:hAnsi="宋体" w:cs="宋体"/>
          <w:color w:val="auto"/>
          <w:sz w:val="24"/>
          <w:szCs w:val="24"/>
          <w:highlight w:val="none"/>
        </w:rPr>
      </w:pPr>
      <w:r>
        <w:rPr>
          <w:rFonts w:hint="eastAsia" w:hAnsi="宋体" w:cs="宋体"/>
          <w:color w:val="auto"/>
          <w:sz w:val="24"/>
          <w:szCs w:val="24"/>
          <w:highlight w:val="none"/>
        </w:rPr>
        <w:t>身份证号码：</w:t>
      </w:r>
    </w:p>
    <w:p>
      <w:pPr>
        <w:spacing w:line="480" w:lineRule="exact"/>
        <w:rPr>
          <w:rFonts w:hAnsi="宋体" w:cs="宋体"/>
          <w:color w:val="auto"/>
          <w:sz w:val="24"/>
          <w:szCs w:val="24"/>
          <w:highlight w:val="none"/>
        </w:rPr>
      </w:pPr>
      <w:r>
        <w:rPr>
          <w:rFonts w:hint="eastAsia" w:hAnsi="宋体" w:cs="宋体"/>
          <w:color w:val="auto"/>
          <w:sz w:val="24"/>
          <w:szCs w:val="24"/>
          <w:highlight w:val="none"/>
        </w:rPr>
        <w:t xml:space="preserve">手机：  </w:t>
      </w:r>
    </w:p>
    <w:p>
      <w:pPr>
        <w:spacing w:line="480" w:lineRule="exact"/>
        <w:rPr>
          <w:rFonts w:hAnsi="宋体" w:cs="宋体"/>
          <w:color w:val="auto"/>
          <w:sz w:val="24"/>
          <w:szCs w:val="24"/>
          <w:highlight w:val="none"/>
        </w:rPr>
      </w:pPr>
    </w:p>
    <w:p>
      <w:pPr>
        <w:spacing w:line="480" w:lineRule="exact"/>
        <w:rPr>
          <w:rFonts w:hAnsi="宋体" w:cs="宋体"/>
          <w:color w:val="auto"/>
          <w:sz w:val="24"/>
          <w:szCs w:val="24"/>
          <w:highlight w:val="none"/>
        </w:rPr>
      </w:pPr>
      <w:r>
        <w:rPr>
          <w:rFonts w:hint="eastAsia" w:hAnsi="宋体" w:cs="宋体"/>
          <w:color w:val="auto"/>
          <w:sz w:val="24"/>
          <w:szCs w:val="24"/>
          <w:highlight w:val="none"/>
        </w:rPr>
        <w:t>单位名称（公章）</w:t>
      </w:r>
      <w:r>
        <w:rPr>
          <w:rFonts w:hAnsi="宋体" w:cs="宋体"/>
          <w:color w:val="auto"/>
          <w:sz w:val="24"/>
          <w:szCs w:val="24"/>
          <w:highlight w:val="none"/>
        </w:rPr>
        <w:t xml:space="preserve">             </w:t>
      </w:r>
      <w:r>
        <w:rPr>
          <w:rFonts w:hint="eastAsia" w:hAnsi="宋体" w:cs="宋体"/>
          <w:color w:val="auto"/>
          <w:sz w:val="24"/>
          <w:szCs w:val="24"/>
          <w:highlight w:val="none"/>
        </w:rPr>
        <w:t>法定代表人（签字或盖章）</w:t>
      </w:r>
    </w:p>
    <w:p>
      <w:pPr>
        <w:spacing w:line="480" w:lineRule="exact"/>
        <w:ind w:firstLine="1200" w:firstLineChars="500"/>
        <w:rPr>
          <w:rFonts w:hAnsi="宋体" w:cs="宋体"/>
          <w:color w:val="auto"/>
          <w:sz w:val="24"/>
          <w:szCs w:val="24"/>
          <w:highlight w:val="none"/>
        </w:rPr>
      </w:pPr>
      <w:r>
        <w:rPr>
          <w:rFonts w:hint="eastAsia" w:hAnsi="宋体" w:cs="宋体"/>
          <w:color w:val="auto"/>
          <w:sz w:val="24"/>
          <w:szCs w:val="24"/>
          <w:highlight w:val="none"/>
        </w:rPr>
        <w:t>年</w:t>
      </w:r>
      <w:r>
        <w:rPr>
          <w:rFonts w:hAnsi="宋体" w:cs="宋体"/>
          <w:color w:val="auto"/>
          <w:sz w:val="24"/>
          <w:szCs w:val="24"/>
          <w:highlight w:val="none"/>
        </w:rPr>
        <w:t xml:space="preserve">   </w:t>
      </w:r>
      <w:r>
        <w:rPr>
          <w:rFonts w:hint="eastAsia" w:hAnsi="宋体" w:cs="宋体"/>
          <w:color w:val="auto"/>
          <w:sz w:val="24"/>
          <w:szCs w:val="24"/>
          <w:highlight w:val="none"/>
        </w:rPr>
        <w:t>月</w:t>
      </w:r>
      <w:r>
        <w:rPr>
          <w:rFonts w:hAnsi="宋体" w:cs="宋体"/>
          <w:color w:val="auto"/>
          <w:sz w:val="24"/>
          <w:szCs w:val="24"/>
          <w:highlight w:val="none"/>
        </w:rPr>
        <w:t xml:space="preserve">   </w:t>
      </w:r>
      <w:r>
        <w:rPr>
          <w:rFonts w:hint="eastAsia" w:hAnsi="宋体" w:cs="宋体"/>
          <w:color w:val="auto"/>
          <w:sz w:val="24"/>
          <w:szCs w:val="24"/>
          <w:highlight w:val="none"/>
        </w:rPr>
        <w:t>日</w:t>
      </w:r>
      <w:r>
        <w:rPr>
          <w:rFonts w:hAnsi="宋体" w:cs="宋体"/>
          <w:color w:val="auto"/>
          <w:sz w:val="24"/>
          <w:szCs w:val="24"/>
          <w:highlight w:val="none"/>
        </w:rPr>
        <w:t xml:space="preserve">                 </w:t>
      </w:r>
      <w:r>
        <w:rPr>
          <w:rFonts w:hint="eastAsia" w:hAnsi="宋体" w:cs="宋体"/>
          <w:color w:val="auto"/>
          <w:sz w:val="24"/>
          <w:szCs w:val="24"/>
          <w:highlight w:val="none"/>
        </w:rPr>
        <w:t>年</w:t>
      </w:r>
      <w:r>
        <w:rPr>
          <w:rFonts w:hAnsi="宋体" w:cs="宋体"/>
          <w:color w:val="auto"/>
          <w:sz w:val="24"/>
          <w:szCs w:val="24"/>
          <w:highlight w:val="none"/>
        </w:rPr>
        <w:t xml:space="preserve">   </w:t>
      </w:r>
      <w:r>
        <w:rPr>
          <w:rFonts w:hint="eastAsia" w:hAnsi="宋体" w:cs="宋体"/>
          <w:color w:val="auto"/>
          <w:sz w:val="24"/>
          <w:szCs w:val="24"/>
          <w:highlight w:val="none"/>
        </w:rPr>
        <w:t>月</w:t>
      </w:r>
      <w:r>
        <w:rPr>
          <w:rFonts w:hAnsi="宋体" w:cs="宋体"/>
          <w:color w:val="auto"/>
          <w:sz w:val="24"/>
          <w:szCs w:val="24"/>
          <w:highlight w:val="none"/>
        </w:rPr>
        <w:t xml:space="preserve">    </w:t>
      </w:r>
      <w:r>
        <w:rPr>
          <w:rFonts w:hint="eastAsia" w:hAnsi="宋体" w:cs="宋体"/>
          <w:color w:val="auto"/>
          <w:sz w:val="24"/>
          <w:szCs w:val="24"/>
          <w:highlight w:val="none"/>
        </w:rPr>
        <w:t>日</w:t>
      </w:r>
      <w:r>
        <w:rPr>
          <w:rFonts w:hAnsi="宋体" w:cs="宋体"/>
          <w:color w:val="auto"/>
          <w:sz w:val="24"/>
          <w:szCs w:val="24"/>
          <w:highlight w:val="none"/>
        </w:rPr>
        <w:t xml:space="preserve">  </w:t>
      </w:r>
    </w:p>
    <w:p>
      <w:pPr>
        <w:spacing w:line="480" w:lineRule="exact"/>
        <w:rPr>
          <w:rFonts w:hAnsi="宋体" w:cs="宋体"/>
          <w:color w:val="auto"/>
          <w:sz w:val="24"/>
          <w:szCs w:val="24"/>
          <w:highlight w:val="none"/>
        </w:rPr>
      </w:pPr>
    </w:p>
    <w:p>
      <w:pPr>
        <w:snapToGrid w:val="0"/>
        <w:spacing w:line="520" w:lineRule="exact"/>
        <w:ind w:firstLine="2479" w:firstLineChars="1029"/>
        <w:rPr>
          <w:rFonts w:ascii="宋体" w:cs="宋体"/>
          <w:b/>
          <w:color w:val="auto"/>
          <w:sz w:val="24"/>
          <w:szCs w:val="24"/>
          <w:highlight w:val="none"/>
        </w:rPr>
      </w:pPr>
      <w:r>
        <w:rPr>
          <w:rFonts w:hint="eastAsia" w:ascii="宋体" w:hAnsi="宋体" w:cs="宋体"/>
          <w:b/>
          <w:color w:val="auto"/>
          <w:sz w:val="24"/>
          <w:szCs w:val="24"/>
          <w:highlight w:val="none"/>
        </w:rPr>
        <w:t>法定代表人身份证复印件</w:t>
      </w:r>
    </w:p>
    <w:p>
      <w:pPr>
        <w:snapToGrid w:val="0"/>
        <w:spacing w:line="520" w:lineRule="exact"/>
        <w:rPr>
          <w:rFonts w:ascii="宋体" w:cs="宋体"/>
          <w:color w:val="auto"/>
          <w:sz w:val="24"/>
          <w:szCs w:val="24"/>
          <w:highlight w:val="none"/>
        </w:rPr>
      </w:pPr>
    </w:p>
    <w:p>
      <w:pPr>
        <w:snapToGrid w:val="0"/>
        <w:spacing w:line="520" w:lineRule="exact"/>
        <w:ind w:firstLine="2997" w:firstLineChars="1244"/>
        <w:rPr>
          <w:rFonts w:ascii="宋体" w:cs="宋体"/>
          <w:b/>
          <w:color w:val="auto"/>
          <w:sz w:val="24"/>
          <w:szCs w:val="24"/>
          <w:highlight w:val="none"/>
        </w:rPr>
      </w:pPr>
      <w:r>
        <w:rPr>
          <w:rFonts w:hint="eastAsia" w:ascii="宋体" w:hAnsi="宋体" w:cs="宋体"/>
          <w:b/>
          <w:color w:val="auto"/>
          <w:sz w:val="24"/>
          <w:szCs w:val="24"/>
          <w:highlight w:val="none"/>
        </w:rPr>
        <w:t>（粘贴此处）</w:t>
      </w:r>
    </w:p>
    <w:p>
      <w:pPr>
        <w:spacing w:line="480" w:lineRule="exact"/>
        <w:rPr>
          <w:rFonts w:hAnsi="宋体" w:cs="宋体"/>
          <w:color w:val="auto"/>
          <w:sz w:val="24"/>
          <w:szCs w:val="24"/>
          <w:highlight w:val="none"/>
        </w:rPr>
      </w:pPr>
    </w:p>
    <w:p>
      <w:pPr>
        <w:spacing w:line="480" w:lineRule="exact"/>
        <w:rPr>
          <w:rFonts w:hAnsi="宋体" w:cs="宋体"/>
          <w:color w:val="auto"/>
          <w:sz w:val="24"/>
          <w:szCs w:val="24"/>
          <w:highlight w:val="none"/>
        </w:rPr>
      </w:pPr>
    </w:p>
    <w:p>
      <w:pPr>
        <w:spacing w:line="480" w:lineRule="exact"/>
        <w:ind w:firstLine="2479" w:firstLineChars="1029"/>
        <w:rPr>
          <w:rFonts w:hAnsi="宋体" w:cs="宋体"/>
          <w:b/>
          <w:color w:val="auto"/>
          <w:sz w:val="24"/>
          <w:szCs w:val="24"/>
          <w:highlight w:val="none"/>
        </w:rPr>
      </w:pPr>
      <w:r>
        <w:rPr>
          <w:rFonts w:hint="eastAsia" w:hAnsi="宋体" w:cs="宋体"/>
          <w:b/>
          <w:color w:val="auto"/>
          <w:sz w:val="24"/>
          <w:szCs w:val="24"/>
          <w:highlight w:val="none"/>
        </w:rPr>
        <w:t>被授权人身份证复印件</w:t>
      </w:r>
    </w:p>
    <w:p>
      <w:pPr>
        <w:spacing w:line="480" w:lineRule="exact"/>
        <w:rPr>
          <w:rFonts w:hAnsi="宋体" w:cs="宋体"/>
          <w:color w:val="auto"/>
          <w:sz w:val="24"/>
          <w:szCs w:val="24"/>
          <w:highlight w:val="none"/>
        </w:rPr>
      </w:pPr>
    </w:p>
    <w:p>
      <w:pPr>
        <w:spacing w:line="480" w:lineRule="exact"/>
        <w:ind w:firstLine="3115" w:firstLineChars="1293"/>
        <w:rPr>
          <w:rFonts w:hAnsi="宋体" w:cs="宋体"/>
          <w:b/>
          <w:color w:val="auto"/>
          <w:sz w:val="24"/>
          <w:szCs w:val="24"/>
          <w:highlight w:val="none"/>
        </w:rPr>
      </w:pPr>
      <w:r>
        <w:rPr>
          <w:rFonts w:hint="eastAsia" w:hAnsi="宋体" w:cs="宋体"/>
          <w:b/>
          <w:color w:val="auto"/>
          <w:sz w:val="24"/>
          <w:szCs w:val="24"/>
          <w:highlight w:val="none"/>
        </w:rPr>
        <w:t>（粘贴此处）</w:t>
      </w:r>
    </w:p>
    <w:p>
      <w:pPr>
        <w:pStyle w:val="2"/>
        <w:ind w:firstLine="480"/>
        <w:rPr>
          <w:color w:val="auto"/>
          <w:szCs w:val="24"/>
          <w:highlight w:val="none"/>
        </w:rPr>
      </w:pPr>
    </w:p>
    <w:p>
      <w:pPr>
        <w:spacing w:line="360" w:lineRule="auto"/>
        <w:jc w:val="center"/>
        <w:rPr>
          <w:rFonts w:ascii="宋体" w:cs="宋体"/>
          <w:b/>
          <w:color w:val="auto"/>
          <w:sz w:val="24"/>
          <w:szCs w:val="24"/>
          <w:highlight w:val="none"/>
        </w:rPr>
      </w:pPr>
      <w:r>
        <w:rPr>
          <w:color w:val="auto"/>
          <w:sz w:val="24"/>
          <w:szCs w:val="24"/>
          <w:highlight w:val="none"/>
        </w:rPr>
        <w:br w:type="page"/>
      </w:r>
      <w:r>
        <w:rPr>
          <w:rFonts w:ascii="宋体" w:hAnsi="宋体" w:cs="宋体"/>
          <w:b/>
          <w:color w:val="auto"/>
          <w:sz w:val="24"/>
          <w:szCs w:val="24"/>
          <w:highlight w:val="none"/>
        </w:rPr>
        <w:t>3</w:t>
      </w:r>
      <w:r>
        <w:rPr>
          <w:rFonts w:hint="eastAsia" w:ascii="宋体" w:hAnsi="宋体" w:cs="宋体"/>
          <w:b/>
          <w:color w:val="auto"/>
          <w:sz w:val="24"/>
          <w:szCs w:val="24"/>
          <w:highlight w:val="none"/>
        </w:rPr>
        <w:t>、无重大违法记录声明</w:t>
      </w:r>
    </w:p>
    <w:p>
      <w:pPr>
        <w:spacing w:line="560" w:lineRule="exact"/>
        <w:rPr>
          <w:rFonts w:ascii="宋体"/>
          <w:bCs/>
          <w:color w:val="auto"/>
          <w:sz w:val="24"/>
          <w:szCs w:val="24"/>
          <w:highlight w:val="none"/>
          <w:u w:val="single"/>
        </w:rPr>
      </w:pPr>
      <w:r>
        <w:rPr>
          <w:rFonts w:hint="eastAsia" w:ascii="宋体" w:hAnsi="宋体"/>
          <w:bCs/>
          <w:color w:val="auto"/>
          <w:sz w:val="24"/>
          <w:szCs w:val="24"/>
          <w:highlight w:val="none"/>
          <w:u w:val="single"/>
          <w:lang w:eastAsia="zh-CN"/>
        </w:rPr>
        <w:t>南通市第三人民医院</w:t>
      </w:r>
      <w:r>
        <w:rPr>
          <w:rFonts w:hint="eastAsia" w:ascii="宋体" w:hAnsi="宋体"/>
          <w:bCs/>
          <w:color w:val="auto"/>
          <w:sz w:val="24"/>
          <w:szCs w:val="24"/>
          <w:highlight w:val="none"/>
          <w:u w:val="single"/>
        </w:rPr>
        <w:t>：</w:t>
      </w:r>
    </w:p>
    <w:p>
      <w:pPr>
        <w:spacing w:line="560" w:lineRule="exac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我单位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olor w:val="auto"/>
          <w:sz w:val="24"/>
          <w:szCs w:val="24"/>
          <w:highlight w:val="none"/>
        </w:rPr>
        <w:t>（供应商名称）郑重声明：</w:t>
      </w:r>
    </w:p>
    <w:p>
      <w:pPr>
        <w:spacing w:line="560" w:lineRule="exac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参加采购活动前</w:t>
      </w:r>
      <w:r>
        <w:rPr>
          <w:rFonts w:ascii="宋体" w:hAnsi="宋体"/>
          <w:color w:val="auto"/>
          <w:sz w:val="24"/>
          <w:szCs w:val="24"/>
          <w:highlight w:val="none"/>
        </w:rPr>
        <w:t>3</w:t>
      </w:r>
      <w:r>
        <w:rPr>
          <w:rFonts w:hint="eastAsia" w:ascii="宋体" w:hAnsi="宋体"/>
          <w:color w:val="auto"/>
          <w:sz w:val="24"/>
          <w:szCs w:val="24"/>
          <w:highlight w:val="none"/>
        </w:rPr>
        <w:t>年内在经营活动中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olor w:val="auto"/>
          <w:sz w:val="24"/>
          <w:szCs w:val="24"/>
          <w:highlight w:val="none"/>
        </w:rPr>
        <w:t>（在下划线上如实填写：有或没有）重大违法记录。</w:t>
      </w:r>
    </w:p>
    <w:p>
      <w:pPr>
        <w:spacing w:line="560" w:lineRule="exact"/>
        <w:ind w:firstLine="480"/>
        <w:rPr>
          <w:rFonts w:ascii="宋体"/>
          <w:color w:val="auto"/>
          <w:sz w:val="24"/>
          <w:szCs w:val="24"/>
          <w:highlight w:val="none"/>
        </w:rPr>
      </w:pPr>
      <w:r>
        <w:rPr>
          <w:rFonts w:hint="eastAsia" w:ascii="宋体" w:hAnsi="宋体"/>
          <w:color w:val="auto"/>
          <w:sz w:val="24"/>
          <w:szCs w:val="24"/>
          <w:highlight w:val="none"/>
        </w:rPr>
        <w:t>（说明：重大违法记录，是指供应商因违法经营受到刑事处罚或者责令停产停业、吊销许可证或者执照、较大数额罚款等行政处罚。）</w:t>
      </w:r>
    </w:p>
    <w:p>
      <w:pPr>
        <w:spacing w:line="420" w:lineRule="exact"/>
        <w:rPr>
          <w:rFonts w:ascii="宋体"/>
          <w:color w:val="auto"/>
          <w:sz w:val="24"/>
          <w:szCs w:val="24"/>
          <w:highlight w:val="none"/>
        </w:rPr>
      </w:pPr>
    </w:p>
    <w:p>
      <w:pPr>
        <w:spacing w:line="420" w:lineRule="exact"/>
        <w:ind w:firstLine="6360" w:firstLineChars="2650"/>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声明人：（公章）</w:t>
      </w:r>
    </w:p>
    <w:p>
      <w:pPr>
        <w:spacing w:line="420" w:lineRule="exact"/>
        <w:jc w:val="right"/>
        <w:rPr>
          <w:rFonts w:ascii="宋体"/>
          <w:color w:val="auto"/>
          <w:sz w:val="24"/>
          <w:szCs w:val="24"/>
          <w:highlight w:val="none"/>
        </w:rPr>
      </w:pP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pPr>
        <w:snapToGrid w:val="0"/>
        <w:spacing w:line="360" w:lineRule="auto"/>
        <w:jc w:val="center"/>
        <w:outlineLvl w:val="4"/>
        <w:rPr>
          <w:rFonts w:ascii="宋体" w:cs="宋体"/>
          <w:b/>
          <w:color w:val="auto"/>
          <w:sz w:val="24"/>
          <w:szCs w:val="24"/>
          <w:highlight w:val="none"/>
        </w:rPr>
      </w:pPr>
      <w:r>
        <w:rPr>
          <w:rFonts w:ascii="宋体" w:cs="宋体"/>
          <w:b/>
          <w:color w:val="auto"/>
          <w:sz w:val="24"/>
          <w:szCs w:val="24"/>
          <w:highlight w:val="none"/>
        </w:rPr>
        <w:br w:type="page"/>
      </w:r>
      <w:r>
        <w:rPr>
          <w:rFonts w:ascii="宋体" w:hAnsi="宋体" w:cs="宋体"/>
          <w:b/>
          <w:color w:val="auto"/>
          <w:sz w:val="24"/>
          <w:szCs w:val="24"/>
          <w:highlight w:val="none"/>
        </w:rPr>
        <w:t>4</w:t>
      </w:r>
      <w:r>
        <w:rPr>
          <w:rFonts w:hint="eastAsia" w:ascii="宋体" w:hAnsi="宋体" w:cs="宋体"/>
          <w:b/>
          <w:color w:val="auto"/>
          <w:sz w:val="24"/>
          <w:szCs w:val="24"/>
          <w:highlight w:val="none"/>
        </w:rPr>
        <w:t>、关于资格文件的声明函</w:t>
      </w:r>
    </w:p>
    <w:p>
      <w:pPr>
        <w:snapToGrid w:val="0"/>
        <w:spacing w:line="360" w:lineRule="auto"/>
        <w:rPr>
          <w:rFonts w:ascii="宋体" w:cs="宋体"/>
          <w:color w:val="auto"/>
          <w:sz w:val="24"/>
          <w:szCs w:val="24"/>
          <w:highlight w:val="none"/>
          <w:u w:val="single"/>
        </w:rPr>
      </w:pPr>
    </w:p>
    <w:p>
      <w:pPr>
        <w:snapToGrid w:val="0"/>
        <w:spacing w:line="360" w:lineRule="auto"/>
        <w:rPr>
          <w:rFonts w:ascii="宋体" w:cs="宋体"/>
          <w:color w:val="auto"/>
          <w:sz w:val="24"/>
          <w:szCs w:val="24"/>
          <w:highlight w:val="none"/>
          <w:u w:val="single"/>
        </w:rPr>
      </w:pPr>
    </w:p>
    <w:p>
      <w:pPr>
        <w:snapToGrid w:val="0"/>
        <w:spacing w:line="360" w:lineRule="auto"/>
        <w:rPr>
          <w:rFonts w:ascii="宋体"/>
          <w:bCs/>
          <w:color w:val="auto"/>
          <w:sz w:val="24"/>
          <w:szCs w:val="24"/>
          <w:highlight w:val="none"/>
          <w:u w:val="single"/>
        </w:rPr>
      </w:pPr>
      <w:r>
        <w:rPr>
          <w:rFonts w:hint="eastAsia" w:ascii="宋体" w:hAnsi="宋体" w:cs="宋体"/>
          <w:color w:val="auto"/>
          <w:sz w:val="24"/>
          <w:szCs w:val="24"/>
          <w:highlight w:val="none"/>
          <w:u w:val="single"/>
          <w:lang w:eastAsia="zh-CN"/>
        </w:rPr>
        <w:t>南通市第三人民医院</w:t>
      </w:r>
      <w:r>
        <w:rPr>
          <w:rFonts w:hint="eastAsia" w:ascii="宋体" w:hAnsi="宋体" w:cs="宋体"/>
          <w:color w:val="auto"/>
          <w:sz w:val="24"/>
          <w:szCs w:val="24"/>
          <w:highlight w:val="none"/>
          <w:u w:val="single"/>
        </w:rPr>
        <w:t>：</w:t>
      </w:r>
    </w:p>
    <w:p>
      <w:pPr>
        <w:overflowPunct w:val="0"/>
        <w:adjustRightInd w:val="0"/>
        <w:spacing w:line="360" w:lineRule="auto"/>
        <w:ind w:firstLine="660"/>
        <w:jc w:val="left"/>
        <w:textAlignment w:val="baseline"/>
        <w:rPr>
          <w:rFonts w:hint="eastAsia" w:ascii="宋体" w:hAnsi="宋体" w:cs="宋体"/>
          <w:color w:val="auto"/>
          <w:sz w:val="24"/>
          <w:szCs w:val="24"/>
          <w:highlight w:val="none"/>
        </w:rPr>
      </w:pPr>
      <w:r>
        <w:rPr>
          <w:rFonts w:hint="eastAsia" w:ascii="宋体" w:hAnsi="宋体"/>
          <w:color w:val="auto"/>
          <w:sz w:val="24"/>
          <w:szCs w:val="24"/>
          <w:highlight w:val="none"/>
        </w:rPr>
        <w:t>本公司愿就由贵单位组织实施的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olor w:val="auto"/>
          <w:sz w:val="24"/>
          <w:szCs w:val="24"/>
          <w:highlight w:val="none"/>
        </w:rPr>
        <w:t>（</w:t>
      </w:r>
      <w:r>
        <w:rPr>
          <w:rFonts w:hint="eastAsia" w:ascii="宋体" w:hAnsi="宋体" w:cs="宋体"/>
          <w:color w:val="auto"/>
          <w:sz w:val="24"/>
          <w:szCs w:val="24"/>
          <w:highlight w:val="none"/>
        </w:rPr>
        <w:t>项目名称</w:t>
      </w:r>
      <w:r>
        <w:rPr>
          <w:rFonts w:ascii="宋体" w:hAnsi="宋体"/>
          <w:color w:val="auto"/>
          <w:sz w:val="24"/>
          <w:szCs w:val="24"/>
          <w:highlight w:val="none"/>
        </w:rPr>
        <w:t>)</w:t>
      </w:r>
      <w:r>
        <w:rPr>
          <w:rFonts w:hint="eastAsia" w:ascii="宋体" w:hAnsi="宋体"/>
          <w:color w:val="auto"/>
          <w:sz w:val="24"/>
          <w:szCs w:val="24"/>
          <w:highlight w:val="none"/>
        </w:rPr>
        <w:t>的活动参与磋商</w:t>
      </w:r>
      <w:r>
        <w:rPr>
          <w:rFonts w:hint="eastAsia" w:ascii="宋体" w:hAnsi="宋体" w:cs="宋体"/>
          <w:color w:val="auto"/>
          <w:sz w:val="24"/>
          <w:szCs w:val="24"/>
          <w:highlight w:val="none"/>
        </w:rPr>
        <w:t>。本公司所提交的磋商文件中所有关于资格的文件、证明和陈述均是真实的、准确的。</w:t>
      </w:r>
    </w:p>
    <w:p>
      <w:pPr>
        <w:overflowPunct w:val="0"/>
        <w:adjustRightInd w:val="0"/>
        <w:spacing w:line="360" w:lineRule="auto"/>
        <w:ind w:firstLine="660"/>
        <w:jc w:val="left"/>
        <w:textAlignment w:val="baseline"/>
        <w:rPr>
          <w:rFonts w:hint="eastAsia" w:ascii="宋体" w:hAnsi="宋体" w:cs="宋体"/>
          <w:color w:val="auto"/>
          <w:sz w:val="24"/>
          <w:szCs w:val="24"/>
          <w:highlight w:val="none"/>
        </w:rPr>
      </w:pPr>
      <w:r>
        <w:rPr>
          <w:rFonts w:hint="eastAsia" w:ascii="宋体" w:hAnsi="宋体"/>
          <w:color w:val="auto"/>
          <w:sz w:val="24"/>
          <w:szCs w:val="24"/>
          <w:highlight w:val="none"/>
        </w:rPr>
        <w:t>本公司</w:t>
      </w:r>
      <w:r>
        <w:rPr>
          <w:rFonts w:hint="eastAsia" w:ascii="宋体" w:hAnsi="宋体" w:cs="宋体"/>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w:t>
      </w:r>
      <w:r>
        <w:rPr>
          <w:rFonts w:hint="eastAsia" w:ascii="宋体" w:hAnsi="宋体" w:cs="宋体"/>
          <w:color w:val="auto"/>
          <w:sz w:val="24"/>
          <w:szCs w:val="24"/>
          <w:highlight w:val="none"/>
          <w:lang w:val="en-US" w:eastAsia="zh-CN"/>
        </w:rPr>
        <w:t>本次</w:t>
      </w:r>
      <w:r>
        <w:rPr>
          <w:rFonts w:hint="eastAsia" w:ascii="宋体" w:hAnsi="宋体" w:cs="宋体"/>
          <w:color w:val="auto"/>
          <w:sz w:val="24"/>
          <w:szCs w:val="24"/>
          <w:highlight w:val="none"/>
        </w:rPr>
        <w:t>采购活动前三年内，在经营活动中没有重大违法记录。</w:t>
      </w:r>
    </w:p>
    <w:p>
      <w:pPr>
        <w:overflowPunct w:val="0"/>
        <w:adjustRightInd w:val="0"/>
        <w:spacing w:line="360" w:lineRule="auto"/>
        <w:ind w:firstLine="660"/>
        <w:jc w:val="left"/>
        <w:textAlignment w:val="baseline"/>
        <w:rPr>
          <w:rFonts w:ascii="宋体"/>
          <w:color w:val="auto"/>
          <w:sz w:val="24"/>
          <w:szCs w:val="24"/>
          <w:highlight w:val="none"/>
        </w:rPr>
      </w:pPr>
      <w:r>
        <w:rPr>
          <w:rFonts w:hint="eastAsia" w:ascii="宋体" w:hAnsi="宋体" w:cs="宋体"/>
          <w:color w:val="auto"/>
          <w:sz w:val="24"/>
          <w:szCs w:val="24"/>
          <w:highlight w:val="none"/>
        </w:rPr>
        <w:t>若与真实情况不符，本公司愿意承担由此而产生的一切后果</w:t>
      </w:r>
      <w:r>
        <w:rPr>
          <w:rFonts w:hint="eastAsia" w:ascii="宋体" w:hAnsi="宋体"/>
          <w:color w:val="auto"/>
          <w:sz w:val="24"/>
          <w:szCs w:val="24"/>
          <w:highlight w:val="none"/>
        </w:rPr>
        <w:t>。</w:t>
      </w:r>
    </w:p>
    <w:p>
      <w:pPr>
        <w:overflowPunct w:val="0"/>
        <w:adjustRightInd w:val="0"/>
        <w:spacing w:line="360" w:lineRule="auto"/>
        <w:ind w:firstLine="420"/>
        <w:jc w:val="left"/>
        <w:textAlignment w:val="baseline"/>
        <w:rPr>
          <w:rFonts w:ascii="宋体"/>
          <w:color w:val="auto"/>
          <w:sz w:val="24"/>
          <w:szCs w:val="24"/>
          <w:highlight w:val="none"/>
        </w:rPr>
      </w:pPr>
    </w:p>
    <w:p>
      <w:pPr>
        <w:overflowPunct w:val="0"/>
        <w:adjustRightInd w:val="0"/>
        <w:spacing w:line="360" w:lineRule="auto"/>
        <w:ind w:firstLine="420"/>
        <w:jc w:val="left"/>
        <w:textAlignment w:val="baseline"/>
        <w:rPr>
          <w:rFonts w:ascii="宋体"/>
          <w:color w:val="auto"/>
          <w:sz w:val="24"/>
          <w:szCs w:val="24"/>
          <w:highlight w:val="none"/>
        </w:rPr>
      </w:pPr>
    </w:p>
    <w:p>
      <w:pPr>
        <w:snapToGrid w:val="0"/>
        <w:spacing w:line="520" w:lineRule="exact"/>
        <w:jc w:val="right"/>
        <w:rPr>
          <w:rFonts w:ascii="宋体" w:cs="宋体"/>
          <w:color w:val="auto"/>
          <w:sz w:val="24"/>
          <w:szCs w:val="24"/>
          <w:highlight w:val="none"/>
        </w:rPr>
      </w:pPr>
      <w:r>
        <w:rPr>
          <w:rFonts w:hint="eastAsia" w:ascii="宋体" w:hAnsi="宋体" w:cs="宋体"/>
          <w:color w:val="auto"/>
          <w:sz w:val="24"/>
          <w:szCs w:val="24"/>
          <w:highlight w:val="none"/>
        </w:rPr>
        <w:t>竞争性磋商响应单位：（加盖公章）</w:t>
      </w:r>
    </w:p>
    <w:p>
      <w:pPr>
        <w:snapToGrid w:val="0"/>
        <w:spacing w:line="520" w:lineRule="exact"/>
        <w:ind w:firstLine="2400" w:firstLineChars="1000"/>
        <w:jc w:val="right"/>
        <w:rPr>
          <w:rFonts w:ascii="宋体" w:cs="宋体"/>
          <w:color w:val="auto"/>
          <w:sz w:val="24"/>
          <w:szCs w:val="24"/>
          <w:highlight w:val="none"/>
        </w:rPr>
      </w:pPr>
      <w:r>
        <w:rPr>
          <w:rFonts w:hint="eastAsia" w:ascii="宋体" w:hAnsi="宋体" w:cs="宋体"/>
          <w:color w:val="auto"/>
          <w:sz w:val="24"/>
          <w:szCs w:val="24"/>
          <w:highlight w:val="none"/>
        </w:rPr>
        <w:t>法定代表人或被授权人：（签字或盖章）</w:t>
      </w:r>
    </w:p>
    <w:p>
      <w:pPr>
        <w:snapToGrid w:val="0"/>
        <w:spacing w:line="520" w:lineRule="exact"/>
        <w:jc w:val="right"/>
        <w:rPr>
          <w:rFonts w:asci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napToGrid w:val="0"/>
        <w:spacing w:line="520" w:lineRule="exact"/>
        <w:jc w:val="center"/>
        <w:outlineLvl w:val="3"/>
        <w:rPr>
          <w:rFonts w:ascii="宋体" w:cs="宋体"/>
          <w:b/>
          <w:color w:val="auto"/>
          <w:sz w:val="24"/>
          <w:szCs w:val="24"/>
          <w:highlight w:val="none"/>
        </w:rPr>
      </w:pPr>
    </w:p>
    <w:p>
      <w:pPr>
        <w:snapToGrid w:val="0"/>
        <w:spacing w:line="520" w:lineRule="exact"/>
        <w:jc w:val="center"/>
        <w:outlineLvl w:val="3"/>
        <w:rPr>
          <w:rFonts w:ascii="宋体" w:cs="宋体"/>
          <w:b/>
          <w:color w:val="auto"/>
          <w:sz w:val="24"/>
          <w:szCs w:val="24"/>
          <w:highlight w:val="none"/>
        </w:rPr>
      </w:pPr>
    </w:p>
    <w:p>
      <w:pPr>
        <w:snapToGrid w:val="0"/>
        <w:spacing w:line="520" w:lineRule="exact"/>
        <w:jc w:val="center"/>
        <w:outlineLvl w:val="3"/>
        <w:rPr>
          <w:rFonts w:ascii="宋体" w:cs="宋体"/>
          <w:b/>
          <w:color w:val="auto"/>
          <w:sz w:val="24"/>
          <w:szCs w:val="24"/>
          <w:highlight w:val="none"/>
        </w:rPr>
      </w:pPr>
    </w:p>
    <w:p>
      <w:pPr>
        <w:spacing w:line="360" w:lineRule="auto"/>
        <w:jc w:val="center"/>
        <w:rPr>
          <w:rFonts w:ascii="宋体" w:cs="宋体"/>
          <w:b/>
          <w:color w:val="auto"/>
          <w:sz w:val="24"/>
          <w:szCs w:val="24"/>
          <w:highlight w:val="none"/>
        </w:rPr>
      </w:pPr>
      <w:r>
        <w:rPr>
          <w:color w:val="auto"/>
          <w:sz w:val="24"/>
          <w:szCs w:val="24"/>
          <w:highlight w:val="none"/>
        </w:rPr>
        <w:br w:type="page"/>
      </w:r>
      <w:r>
        <w:rPr>
          <w:rFonts w:ascii="宋体" w:hAnsi="宋体" w:cs="宋体"/>
          <w:b/>
          <w:color w:val="auto"/>
          <w:sz w:val="24"/>
          <w:szCs w:val="24"/>
          <w:highlight w:val="none"/>
        </w:rPr>
        <w:t>5</w:t>
      </w:r>
      <w:r>
        <w:rPr>
          <w:rFonts w:hint="eastAsia" w:ascii="宋体" w:hAnsi="宋体" w:cs="宋体"/>
          <w:b/>
          <w:color w:val="auto"/>
          <w:sz w:val="24"/>
          <w:szCs w:val="24"/>
          <w:highlight w:val="none"/>
        </w:rPr>
        <w:t>、竞争性磋商响应函（格式不得变动）</w:t>
      </w:r>
    </w:p>
    <w:p>
      <w:pPr>
        <w:snapToGrid w:val="0"/>
        <w:spacing w:line="520" w:lineRule="exact"/>
        <w:rPr>
          <w:rFonts w:ascii="宋体" w:cs="宋体"/>
          <w:color w:val="auto"/>
          <w:sz w:val="24"/>
          <w:szCs w:val="24"/>
          <w:highlight w:val="none"/>
          <w:u w:val="single"/>
        </w:rPr>
      </w:pPr>
    </w:p>
    <w:p>
      <w:pPr>
        <w:snapToGrid w:val="0"/>
        <w:spacing w:line="520" w:lineRule="exact"/>
        <w:rPr>
          <w:rFonts w:ascii="宋体" w:cs="宋体"/>
          <w:color w:val="auto"/>
          <w:sz w:val="24"/>
          <w:szCs w:val="24"/>
          <w:highlight w:val="none"/>
          <w:u w:val="single"/>
        </w:rPr>
      </w:pPr>
      <w:r>
        <w:rPr>
          <w:rFonts w:hint="eastAsia" w:ascii="宋体" w:hAnsi="宋体" w:cs="宋体"/>
          <w:color w:val="auto"/>
          <w:sz w:val="24"/>
          <w:szCs w:val="24"/>
          <w:highlight w:val="none"/>
          <w:u w:val="single"/>
          <w:lang w:eastAsia="zh-CN"/>
        </w:rPr>
        <w:t>南通市第三人民医院</w:t>
      </w:r>
      <w:r>
        <w:rPr>
          <w:rFonts w:hint="eastAsia" w:ascii="宋体" w:hAnsi="宋体" w:cs="宋体"/>
          <w:color w:val="auto"/>
          <w:sz w:val="24"/>
          <w:szCs w:val="24"/>
          <w:highlight w:val="none"/>
          <w:u w:val="single"/>
        </w:rPr>
        <w:t>：</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依据贵单位委托代理机构组织的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（磋商项目名称</w:t>
      </w:r>
      <w:r>
        <w:rPr>
          <w:rFonts w:ascii="宋体" w:hAnsi="宋体" w:cs="宋体"/>
          <w:color w:val="auto"/>
          <w:sz w:val="24"/>
          <w:szCs w:val="24"/>
          <w:highlight w:val="none"/>
        </w:rPr>
        <w:t>)</w:t>
      </w:r>
      <w:r>
        <w:rPr>
          <w:rFonts w:hint="eastAsia" w:ascii="宋体" w:hAnsi="宋体" w:cs="宋体"/>
          <w:color w:val="auto"/>
          <w:sz w:val="24"/>
          <w:szCs w:val="24"/>
          <w:highlight w:val="none"/>
        </w:rPr>
        <w:t>项目竞争性磋商，我方授权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（职务）为全权代表参加该项目的磋商工作，全权处理本次竞争性磋商的有关事宜。同时，我公司声明如下：</w:t>
      </w:r>
    </w:p>
    <w:p>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、我公司已毫无保留地向贵方提供一切所需的证明材料。</w:t>
      </w:r>
    </w:p>
    <w:p>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、我公司承诺在本次磋商响应中提供的一切文件，无论是原件还是复印件均真实有效，绝无任何虚假、伪造和夸大的成份。否则，愿承担相应的后果和法律责任。</w:t>
      </w:r>
    </w:p>
    <w:p>
      <w:pPr>
        <w:snapToGrid w:val="0"/>
        <w:spacing w:line="520" w:lineRule="exact"/>
        <w:ind w:left="479" w:leftChars="228"/>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、一旦成交，我方承诺无正当理由拒绝签订合同，将被贵方取消成交资</w:t>
      </w:r>
    </w:p>
    <w:p>
      <w:pPr>
        <w:snapToGrid w:val="0"/>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s="宋体"/>
          <w:color w:val="auto"/>
          <w:sz w:val="24"/>
          <w:szCs w:val="24"/>
          <w:highlight w:val="none"/>
        </w:rPr>
      </w:pPr>
    </w:p>
    <w:p>
      <w:pPr>
        <w:snapToGrid w:val="0"/>
        <w:spacing w:line="520" w:lineRule="exact"/>
        <w:jc w:val="right"/>
        <w:rPr>
          <w:rFonts w:ascii="宋体" w:cs="宋体"/>
          <w:color w:val="auto"/>
          <w:sz w:val="24"/>
          <w:szCs w:val="24"/>
          <w:highlight w:val="none"/>
        </w:rPr>
      </w:pPr>
      <w:r>
        <w:rPr>
          <w:rFonts w:hint="eastAsia" w:ascii="宋体" w:hAnsi="宋体" w:cs="宋体"/>
          <w:color w:val="auto"/>
          <w:sz w:val="24"/>
          <w:szCs w:val="24"/>
          <w:highlight w:val="none"/>
        </w:rPr>
        <w:t>竞争性磋商响应单位：（加盖公章）</w:t>
      </w:r>
    </w:p>
    <w:p>
      <w:pPr>
        <w:snapToGrid w:val="0"/>
        <w:spacing w:line="520" w:lineRule="exact"/>
        <w:ind w:firstLine="2400" w:firstLineChars="1000"/>
        <w:jc w:val="right"/>
        <w:rPr>
          <w:rFonts w:ascii="宋体" w:cs="宋体"/>
          <w:color w:val="auto"/>
          <w:sz w:val="24"/>
          <w:szCs w:val="24"/>
          <w:highlight w:val="none"/>
        </w:rPr>
      </w:pPr>
      <w:r>
        <w:rPr>
          <w:rFonts w:hint="eastAsia" w:ascii="宋体" w:hAnsi="宋体" w:cs="宋体"/>
          <w:color w:val="auto"/>
          <w:sz w:val="24"/>
          <w:szCs w:val="24"/>
          <w:highlight w:val="none"/>
        </w:rPr>
        <w:t>法定代表人或被授权人：（签字或盖章）</w:t>
      </w:r>
    </w:p>
    <w:p>
      <w:pPr>
        <w:snapToGrid w:val="0"/>
        <w:spacing w:line="520" w:lineRule="exact"/>
        <w:jc w:val="right"/>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napToGrid w:val="0"/>
        <w:spacing w:line="520" w:lineRule="exact"/>
        <w:jc w:val="center"/>
        <w:outlineLvl w:val="3"/>
        <w:rPr>
          <w:rFonts w:ascii="宋体" w:cs="宋体"/>
          <w:b/>
          <w:color w:val="auto"/>
          <w:sz w:val="24"/>
          <w:szCs w:val="24"/>
          <w:highlight w:val="none"/>
        </w:rPr>
      </w:pPr>
    </w:p>
    <w:p>
      <w:pPr>
        <w:snapToGrid w:val="0"/>
        <w:spacing w:line="520" w:lineRule="exact"/>
        <w:jc w:val="center"/>
        <w:outlineLvl w:val="3"/>
        <w:rPr>
          <w:rFonts w:ascii="宋体" w:cs="宋体"/>
          <w:b/>
          <w:color w:val="auto"/>
          <w:sz w:val="24"/>
          <w:szCs w:val="24"/>
          <w:highlight w:val="none"/>
        </w:rPr>
      </w:pPr>
    </w:p>
    <w:p>
      <w:pPr>
        <w:snapToGrid w:val="0"/>
        <w:spacing w:line="520" w:lineRule="exact"/>
        <w:jc w:val="both"/>
        <w:outlineLvl w:val="3"/>
        <w:rPr>
          <w:rFonts w:ascii="宋体" w:cs="宋体"/>
          <w:color w:val="auto"/>
          <w:sz w:val="24"/>
          <w:szCs w:val="24"/>
          <w:highlight w:val="none"/>
        </w:rPr>
      </w:pPr>
      <w:r>
        <w:rPr>
          <w:rFonts w:ascii="宋体" w:hAnsi="宋体" w:cs="宋体"/>
          <w:color w:val="auto"/>
          <w:sz w:val="24"/>
          <w:szCs w:val="24"/>
          <w:highlight w:val="none"/>
        </w:rPr>
        <w:t xml:space="preserve"> </w:t>
      </w:r>
    </w:p>
    <w:p>
      <w:pPr>
        <w:pStyle w:val="2"/>
        <w:spacing w:line="360" w:lineRule="auto"/>
        <w:ind w:firstLine="480" w:firstLineChars="0"/>
        <w:jc w:val="center"/>
        <w:rPr>
          <w:rFonts w:ascii="宋体" w:cs="宋体"/>
          <w:b/>
          <w:color w:val="auto"/>
          <w:szCs w:val="24"/>
          <w:highlight w:val="none"/>
        </w:rPr>
      </w:pPr>
      <w:r>
        <w:rPr>
          <w:color w:val="auto"/>
          <w:szCs w:val="24"/>
          <w:highlight w:val="none"/>
        </w:rPr>
        <w:br w:type="page"/>
      </w:r>
      <w:r>
        <w:rPr>
          <w:rFonts w:hint="eastAsia"/>
          <w:color w:val="auto"/>
          <w:szCs w:val="24"/>
          <w:highlight w:val="none"/>
          <w:lang w:val="en-US" w:eastAsia="zh-CN"/>
        </w:rPr>
        <w:t>6</w:t>
      </w:r>
      <w:r>
        <w:rPr>
          <w:rFonts w:hint="eastAsia" w:ascii="宋体" w:hAnsi="宋体" w:cs="宋体"/>
          <w:b/>
          <w:color w:val="auto"/>
          <w:szCs w:val="24"/>
          <w:highlight w:val="none"/>
        </w:rPr>
        <w:t>、磋商响应报价总表（首次）</w:t>
      </w:r>
    </w:p>
    <w:tbl>
      <w:tblPr>
        <w:tblStyle w:val="52"/>
        <w:tblpPr w:leftFromText="180" w:rightFromText="180" w:vertAnchor="text" w:horzAnchor="page" w:tblpXSpec="center" w:tblpY="460"/>
        <w:tblOverlap w:val="never"/>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3462" w:type="dxa"/>
            <w:noWrap w:val="0"/>
            <w:vAlign w:val="center"/>
          </w:tcPr>
          <w:p>
            <w:pPr>
              <w:spacing w:line="520" w:lineRule="exact"/>
              <w:ind w:left="1" w:firstLine="27" w:firstLineChars="11"/>
              <w:jc w:val="center"/>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项目名称</w:t>
            </w:r>
          </w:p>
        </w:tc>
        <w:tc>
          <w:tcPr>
            <w:tcW w:w="4997" w:type="dxa"/>
            <w:noWrap w:val="0"/>
            <w:vAlign w:val="center"/>
          </w:tcPr>
          <w:p>
            <w:pPr>
              <w:spacing w:line="520" w:lineRule="exact"/>
              <w:ind w:left="1" w:firstLine="27" w:firstLineChars="11"/>
              <w:jc w:val="center"/>
              <w:textAlignment w:val="bottom"/>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3462" w:type="dxa"/>
            <w:noWrap w:val="0"/>
            <w:vAlign w:val="center"/>
          </w:tcPr>
          <w:p>
            <w:pPr>
              <w:widowControl/>
              <w:jc w:val="center"/>
              <w:rPr>
                <w:rFonts w:hint="eastAsia" w:ascii="宋体" w:hAnsi="宋体" w:eastAsia="宋体" w:cs="宋体"/>
                <w:color w:val="auto"/>
                <w:kern w:val="0"/>
                <w:sz w:val="20"/>
                <w:highlight w:val="none"/>
                <w:u w:val="none"/>
              </w:rPr>
            </w:pPr>
            <w:r>
              <w:rPr>
                <w:rFonts w:hint="eastAsia" w:ascii="宋体" w:hAnsi="宋体" w:eastAsia="宋体" w:cs="宋体"/>
                <w:bCs/>
                <w:color w:val="auto"/>
                <w:sz w:val="21"/>
                <w:szCs w:val="21"/>
                <w:highlight w:val="none"/>
                <w:u w:val="none"/>
                <w:lang w:eastAsia="zh-CN"/>
              </w:rPr>
              <w:t>南通市第三人民医院信息系统网络安全等级保护测评服务项目</w:t>
            </w:r>
          </w:p>
        </w:tc>
        <w:tc>
          <w:tcPr>
            <w:tcW w:w="4997" w:type="dxa"/>
            <w:noWrap w:val="0"/>
            <w:vAlign w:val="center"/>
          </w:tcPr>
          <w:p>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u w:val="single"/>
                <w:lang w:val="en-US" w:eastAsia="zh-CN"/>
              </w:rPr>
              <w:t xml:space="preserve">                  </w:t>
            </w:r>
            <w:r>
              <w:rPr>
                <w:rFonts w:hint="eastAsia" w:ascii="宋体" w:hAnsi="宋体" w:eastAsia="宋体" w:cs="宋体"/>
                <w:color w:val="auto"/>
                <w:kern w:val="0"/>
                <w:sz w:val="20"/>
                <w:highlight w:val="none"/>
                <w:lang w:val="en-US" w:eastAsia="zh-CN"/>
              </w:rPr>
              <w:t xml:space="preserve"> </w:t>
            </w:r>
            <w:r>
              <w:rPr>
                <w:rFonts w:hint="eastAsia" w:ascii="宋体" w:hAnsi="宋体" w:eastAsia="宋体" w:cs="宋体"/>
                <w:color w:val="auto"/>
                <w:kern w:val="0"/>
                <w:sz w:val="20"/>
                <w:highlight w:val="none"/>
              </w:rPr>
              <w:t>元</w:t>
            </w:r>
          </w:p>
          <w:p>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（人民币大写：</w:t>
            </w:r>
            <w:r>
              <w:rPr>
                <w:rFonts w:hint="eastAsia" w:ascii="宋体" w:hAnsi="宋体" w:eastAsia="宋体" w:cs="宋体"/>
                <w:color w:val="auto"/>
                <w:kern w:val="0"/>
                <w:sz w:val="20"/>
                <w:highlight w:val="none"/>
                <w:u w:val="single"/>
                <w:lang w:val="en-US" w:eastAsia="zh-CN"/>
              </w:rPr>
              <w:t xml:space="preserve">             </w:t>
            </w:r>
            <w:r>
              <w:rPr>
                <w:rFonts w:hint="eastAsia" w:ascii="宋体" w:hAnsi="宋体" w:eastAsia="宋体" w:cs="宋体"/>
                <w:color w:val="auto"/>
                <w:kern w:val="0"/>
                <w:sz w:val="20"/>
                <w:highlight w:val="none"/>
                <w:lang w:val="en-US" w:eastAsia="zh-CN"/>
              </w:rPr>
              <w:t xml:space="preserve"> </w:t>
            </w:r>
            <w:r>
              <w:rPr>
                <w:rFonts w:hint="eastAsia" w:ascii="宋体" w:hAnsi="宋体" w:eastAsia="宋体" w:cs="宋体"/>
                <w:color w:val="auto"/>
                <w:kern w:val="0"/>
                <w:sz w:val="20"/>
                <w:highlight w:val="none"/>
              </w:rPr>
              <w:t>）</w:t>
            </w:r>
          </w:p>
        </w:tc>
      </w:tr>
    </w:tbl>
    <w:p>
      <w:pPr>
        <w:kinsoku w:val="0"/>
        <w:topLinePunct/>
        <w:snapToGrid w:val="0"/>
        <w:spacing w:line="500" w:lineRule="exact"/>
        <w:rPr>
          <w:rFonts w:hint="eastAsia" w:ascii="宋体" w:hAnsi="宋体" w:eastAsia="宋体" w:cs="宋体"/>
          <w:color w:val="auto"/>
          <w:sz w:val="24"/>
          <w:szCs w:val="21"/>
          <w:highlight w:val="none"/>
        </w:rPr>
      </w:pPr>
    </w:p>
    <w:p>
      <w:pPr>
        <w:kinsoku w:val="0"/>
        <w:topLinePunct/>
        <w:snapToGrid w:val="0"/>
        <w:spacing w:line="500" w:lineRule="exact"/>
        <w:rPr>
          <w:rFonts w:hint="eastAsia" w:ascii="宋体" w:hAnsi="宋体" w:eastAsia="宋体" w:cs="宋体"/>
          <w:color w:val="auto"/>
          <w:sz w:val="24"/>
          <w:szCs w:val="21"/>
          <w:highlight w:val="none"/>
        </w:rPr>
      </w:pPr>
    </w:p>
    <w:p>
      <w:pPr>
        <w:kinsoku w:val="0"/>
        <w:topLinePunct/>
        <w:snapToGrid w:val="0"/>
        <w:spacing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 xml:space="preserve">：（盖章）             </w:t>
      </w:r>
    </w:p>
    <w:p>
      <w:pPr>
        <w:kinsoku w:val="0"/>
        <w:topLinePunct/>
        <w:snapToGrid w:val="0"/>
        <w:spacing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法定代表人或被授权人（签字或盖章）：</w:t>
      </w:r>
    </w:p>
    <w:p>
      <w:pPr>
        <w:kinsoku w:val="0"/>
        <w:topLinePunct/>
        <w:snapToGrid w:val="0"/>
        <w:spacing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日期：</w:t>
      </w:r>
    </w:p>
    <w:p>
      <w:pPr>
        <w:snapToGrid w:val="0"/>
        <w:spacing w:line="500" w:lineRule="exact"/>
        <w:rPr>
          <w:rFonts w:hint="eastAsia" w:ascii="宋体" w:hAnsi="宋体" w:eastAsia="宋体" w:cs="宋体"/>
          <w:b/>
          <w:bCs/>
          <w:color w:val="auto"/>
          <w:sz w:val="24"/>
          <w:szCs w:val="21"/>
          <w:highlight w:val="none"/>
        </w:rPr>
      </w:pPr>
    </w:p>
    <w:p>
      <w:pPr>
        <w:kinsoku w:val="0"/>
        <w:topLinePunct/>
        <w:snapToGrid w:val="0"/>
        <w:spacing w:line="5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p>
    <w:p>
      <w:pPr>
        <w:numPr>
          <w:ilvl w:val="0"/>
          <w:numId w:val="4"/>
        </w:numPr>
        <w:kinsoku w:val="0"/>
        <w:topLinePunct/>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本表为格式表，不得自行改动，必须提供。</w:t>
      </w:r>
    </w:p>
    <w:p>
      <w:pPr>
        <w:numPr>
          <w:ilvl w:val="0"/>
          <w:numId w:val="4"/>
        </w:numPr>
        <w:kinsoku w:val="0"/>
        <w:topLinePunct/>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r>
        <w:rPr>
          <w:rFonts w:hint="eastAsia" w:ascii="宋体" w:hAnsi="宋体" w:eastAsia="宋体" w:cs="宋体"/>
          <w:color w:val="auto"/>
          <w:sz w:val="24"/>
          <w:szCs w:val="24"/>
          <w:highlight w:val="none"/>
        </w:rPr>
        <w:t>包含完成本项目所需的人工、</w:t>
      </w:r>
      <w:r>
        <w:rPr>
          <w:rFonts w:hint="eastAsia" w:ascii="宋体" w:hAnsi="宋体" w:eastAsia="宋体" w:cs="宋体"/>
          <w:color w:val="auto"/>
          <w:sz w:val="24"/>
          <w:szCs w:val="24"/>
          <w:highlight w:val="none"/>
          <w:lang w:val="en-US" w:eastAsia="zh-CN"/>
        </w:rPr>
        <w:t>通讯和专用工具费用、</w:t>
      </w:r>
      <w:r>
        <w:rPr>
          <w:rFonts w:hint="eastAsia" w:ascii="宋体" w:hAnsi="宋体" w:eastAsia="宋体" w:cs="宋体"/>
          <w:color w:val="auto"/>
          <w:sz w:val="24"/>
          <w:szCs w:val="24"/>
          <w:highlight w:val="none"/>
        </w:rPr>
        <w:t>调研费、</w:t>
      </w:r>
      <w:r>
        <w:rPr>
          <w:rFonts w:hint="eastAsia" w:ascii="宋体" w:hAnsi="宋体" w:eastAsia="宋体" w:cs="宋体"/>
          <w:color w:val="auto"/>
          <w:sz w:val="24"/>
          <w:szCs w:val="24"/>
          <w:highlight w:val="none"/>
          <w:lang w:val="en-US" w:eastAsia="zh-CN"/>
        </w:rPr>
        <w:t>、差旅费、专家服务费</w:t>
      </w:r>
      <w:r>
        <w:rPr>
          <w:rFonts w:hint="eastAsia" w:ascii="宋体" w:hAnsi="宋体" w:eastAsia="宋体" w:cs="宋体"/>
          <w:color w:val="auto"/>
          <w:sz w:val="24"/>
          <w:szCs w:val="24"/>
          <w:highlight w:val="none"/>
        </w:rPr>
        <w:t>税费、企业管理费、合理利润、为完成本项目所必须的其他辅助工作的相关费用及响应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文件要求等一切费用，即从项目招标到最终成果提交获得验收通过前的所有费用。</w:t>
      </w:r>
    </w:p>
    <w:p>
      <w:pPr>
        <w:kinsoku w:val="0"/>
        <w:topLinePunct/>
        <w:snapToGrid w:val="0"/>
        <w:spacing w:line="360" w:lineRule="auto"/>
        <w:rPr>
          <w:rFonts w:hint="eastAsia" w:ascii="宋体" w:hAnsi="宋体" w:eastAsia="宋体" w:cs="宋体"/>
          <w:sz w:val="24"/>
          <w:szCs w:val="24"/>
          <w:highlight w:val="none"/>
        </w:rPr>
      </w:pPr>
    </w:p>
    <w:p>
      <w:pPr>
        <w:kinsoku w:val="0"/>
        <w:topLinePunct/>
        <w:snapToGrid w:val="0"/>
        <w:spacing w:line="360" w:lineRule="auto"/>
        <w:rPr>
          <w:rFonts w:hint="eastAsia" w:ascii="宋体" w:hAnsi="宋体" w:eastAsia="宋体" w:cs="宋体"/>
          <w:sz w:val="24"/>
          <w:szCs w:val="24"/>
          <w:highlight w:val="none"/>
        </w:rPr>
      </w:pPr>
    </w:p>
    <w:p>
      <w:pPr>
        <w:pStyle w:val="114"/>
        <w:tabs>
          <w:tab w:val="left" w:pos="5665"/>
          <w:tab w:val="right" w:pos="8360"/>
        </w:tabs>
        <w:spacing w:line="360" w:lineRule="auto"/>
        <w:ind w:right="42"/>
        <w:jc w:val="left"/>
        <w:rPr>
          <w:rFonts w:hint="eastAsia" w:hAnsi="宋体" w:cs="宋体"/>
          <w:color w:val="auto"/>
          <w:sz w:val="24"/>
          <w:highlight w:val="none"/>
        </w:rPr>
      </w:pPr>
      <w:r>
        <w:rPr>
          <w:rFonts w:hint="eastAsia" w:ascii="宋体" w:hAnsi="宋体" w:eastAsia="宋体" w:cs="宋体"/>
          <w:b/>
          <w:sz w:val="24"/>
          <w:szCs w:val="24"/>
          <w:highlight w:val="none"/>
        </w:rPr>
        <w:t>注：第二次报价将在开标现场填写，响应文件密封提交时只需填写磋商报价总计（首次）。且第二次报价时，磋商响应报价明细表按同比例下浮。</w:t>
      </w: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ascii="Times New Roman" w:hAnsi="Times New Roman" w:eastAsia="宋体" w:cs="Times New Roman"/>
          <w:b/>
          <w:bCs/>
          <w:color w:val="auto"/>
          <w:kern w:val="2"/>
          <w:sz w:val="24"/>
          <w:szCs w:val="24"/>
          <w:highlight w:val="none"/>
          <w:lang w:val="en-US" w:eastAsia="zh-CN" w:bidi="ar-SA"/>
        </w:rPr>
      </w:pPr>
      <w:r>
        <w:rPr>
          <w:rFonts w:hint="eastAsia" w:hAnsi="宋体" w:cs="宋体"/>
          <w:b/>
          <w:bCs/>
          <w:color w:val="auto"/>
          <w:sz w:val="24"/>
          <w:highlight w:val="none"/>
          <w:lang w:val="en-US" w:eastAsia="zh-CN"/>
        </w:rPr>
        <w:t>7、</w:t>
      </w:r>
      <w:r>
        <w:rPr>
          <w:rFonts w:hint="eastAsia" w:ascii="Times New Roman" w:hAnsi="Times New Roman" w:eastAsia="宋体" w:cs="Times New Roman"/>
          <w:b/>
          <w:bCs/>
          <w:color w:val="auto"/>
          <w:kern w:val="2"/>
          <w:sz w:val="24"/>
          <w:szCs w:val="24"/>
          <w:highlight w:val="none"/>
          <w:lang w:val="zh-CN" w:eastAsia="zh-CN" w:bidi="ar-SA"/>
        </w:rPr>
        <w:t>投标响应报价</w:t>
      </w:r>
      <w:r>
        <w:rPr>
          <w:rFonts w:hint="eastAsia" w:ascii="Times New Roman" w:hAnsi="Times New Roman" w:eastAsia="宋体" w:cs="Times New Roman"/>
          <w:b/>
          <w:bCs/>
          <w:color w:val="auto"/>
          <w:kern w:val="2"/>
          <w:sz w:val="24"/>
          <w:szCs w:val="24"/>
          <w:highlight w:val="none"/>
          <w:lang w:val="en-US" w:eastAsia="zh-CN" w:bidi="ar-SA"/>
        </w:rPr>
        <w:t>明细表</w:t>
      </w:r>
      <w:r>
        <w:rPr>
          <w:rFonts w:hint="eastAsia" w:ascii="Times New Roman" w:hAnsi="Times New Roman" w:eastAsia="宋体" w:cs="Times New Roman"/>
          <w:b/>
          <w:bCs/>
          <w:color w:val="auto"/>
          <w:kern w:val="2"/>
          <w:sz w:val="24"/>
          <w:szCs w:val="24"/>
          <w:highlight w:val="none"/>
          <w:lang w:val="zh-CN" w:eastAsia="zh-CN" w:bidi="ar-SA"/>
        </w:rPr>
        <w:t>（格式</w:t>
      </w:r>
      <w:r>
        <w:rPr>
          <w:rFonts w:hint="eastAsia" w:ascii="Times New Roman" w:hAnsi="Times New Roman" w:eastAsia="宋体" w:cs="Times New Roman"/>
          <w:b/>
          <w:bCs/>
          <w:color w:val="auto"/>
          <w:kern w:val="2"/>
          <w:sz w:val="24"/>
          <w:szCs w:val="24"/>
          <w:highlight w:val="none"/>
          <w:lang w:val="en-US" w:eastAsia="zh-CN" w:bidi="ar-SA"/>
        </w:rPr>
        <w:t>自拟</w:t>
      </w:r>
      <w:r>
        <w:rPr>
          <w:rFonts w:hint="eastAsia" w:ascii="Times New Roman" w:hAnsi="Times New Roman" w:eastAsia="宋体" w:cs="Times New Roman"/>
          <w:b/>
          <w:bCs/>
          <w:color w:val="auto"/>
          <w:kern w:val="2"/>
          <w:sz w:val="24"/>
          <w:szCs w:val="24"/>
          <w:highlight w:val="none"/>
          <w:lang w:val="zh-CN"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文本框 2" o:spid="_x0000_s4098" o:spt="202" type="#_x0000_t202" style="position:absolute;left:0pt;margin-top:0pt;height:20.7pt;width:2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18</w:t>
                </w:r>
                <w:r>
                  <w:rPr>
                    <w:b/>
                    <w:bCs/>
                  </w:rPr>
                  <w:fldChar w:fldCharType="end"/>
                </w:r>
              </w:p>
            </w:txbxContent>
          </v:textbox>
        </v:shape>
      </w:pict>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文本框 3" o:spid="_x0000_s4097" o:spt="202" type="#_x0000_t202" style="position:absolute;left:0pt;margin-top:0pt;height:20.7pt;width: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2"/>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w:r>
  </w:p>
  <w:p>
    <w:pPr>
      <w:pStyle w:val="32"/>
      <w:wordWrap w:val="0"/>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844C5"/>
    <w:multiLevelType w:val="singleLevel"/>
    <w:tmpl w:val="C0C844C5"/>
    <w:lvl w:ilvl="0" w:tentative="0">
      <w:start w:val="4"/>
      <w:numFmt w:val="chineseCounting"/>
      <w:suff w:val="space"/>
      <w:lvlText w:val="第%1章"/>
      <w:lvlJc w:val="left"/>
      <w:rPr>
        <w:rFonts w:hint="eastAsia" w:cs="Times New Roman"/>
      </w:rPr>
    </w:lvl>
  </w:abstractNum>
  <w:abstractNum w:abstractNumId="1">
    <w:nsid w:val="283381C9"/>
    <w:multiLevelType w:val="singleLevel"/>
    <w:tmpl w:val="283381C9"/>
    <w:lvl w:ilvl="0" w:tentative="0">
      <w:start w:val="3"/>
      <w:numFmt w:val="decimal"/>
      <w:suff w:val="nothing"/>
      <w:lvlText w:val="%1、"/>
      <w:lvlJc w:val="left"/>
    </w:lvl>
  </w:abstractNum>
  <w:abstractNum w:abstractNumId="2">
    <w:nsid w:val="5A73EE5A"/>
    <w:multiLevelType w:val="singleLevel"/>
    <w:tmpl w:val="5A73EE5A"/>
    <w:lvl w:ilvl="0" w:tentative="0">
      <w:start w:val="1"/>
      <w:numFmt w:val="decimal"/>
      <w:suff w:val="nothing"/>
      <w:lvlText w:val="（%1）"/>
      <w:lvlJc w:val="left"/>
    </w:lvl>
  </w:abstractNum>
  <w:abstractNum w:abstractNumId="3">
    <w:nsid w:val="76C11839"/>
    <w:multiLevelType w:val="singleLevel"/>
    <w:tmpl w:val="76C11839"/>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852"/>
    <w:rsid w:val="000039C8"/>
    <w:rsid w:val="00014555"/>
    <w:rsid w:val="00014D3E"/>
    <w:rsid w:val="00015852"/>
    <w:rsid w:val="000171B5"/>
    <w:rsid w:val="00031432"/>
    <w:rsid w:val="0004204B"/>
    <w:rsid w:val="00043C4B"/>
    <w:rsid w:val="0004447A"/>
    <w:rsid w:val="00044F1B"/>
    <w:rsid w:val="00046E34"/>
    <w:rsid w:val="00055A11"/>
    <w:rsid w:val="0005698B"/>
    <w:rsid w:val="00060BF6"/>
    <w:rsid w:val="00066A8B"/>
    <w:rsid w:val="00066F9F"/>
    <w:rsid w:val="00070888"/>
    <w:rsid w:val="000748DA"/>
    <w:rsid w:val="00082655"/>
    <w:rsid w:val="00083EDD"/>
    <w:rsid w:val="00084073"/>
    <w:rsid w:val="000841FB"/>
    <w:rsid w:val="00085742"/>
    <w:rsid w:val="0008633C"/>
    <w:rsid w:val="00086D36"/>
    <w:rsid w:val="00097B92"/>
    <w:rsid w:val="000A0517"/>
    <w:rsid w:val="000B1765"/>
    <w:rsid w:val="000B4A07"/>
    <w:rsid w:val="000B5492"/>
    <w:rsid w:val="000C35A8"/>
    <w:rsid w:val="000C36B8"/>
    <w:rsid w:val="000C438C"/>
    <w:rsid w:val="000C6DBB"/>
    <w:rsid w:val="000C7E3C"/>
    <w:rsid w:val="000D5F2E"/>
    <w:rsid w:val="000D6E16"/>
    <w:rsid w:val="000E05F9"/>
    <w:rsid w:val="000E441F"/>
    <w:rsid w:val="000F0D29"/>
    <w:rsid w:val="000F6601"/>
    <w:rsid w:val="000F6D29"/>
    <w:rsid w:val="000F7600"/>
    <w:rsid w:val="000F7668"/>
    <w:rsid w:val="000F7EFA"/>
    <w:rsid w:val="00103896"/>
    <w:rsid w:val="00104F1D"/>
    <w:rsid w:val="0011048A"/>
    <w:rsid w:val="00126F48"/>
    <w:rsid w:val="001316A0"/>
    <w:rsid w:val="00131947"/>
    <w:rsid w:val="001338B3"/>
    <w:rsid w:val="00141EA3"/>
    <w:rsid w:val="00142BF7"/>
    <w:rsid w:val="00143037"/>
    <w:rsid w:val="00144128"/>
    <w:rsid w:val="00144D3B"/>
    <w:rsid w:val="00145BB9"/>
    <w:rsid w:val="001475FD"/>
    <w:rsid w:val="0014795A"/>
    <w:rsid w:val="001534B9"/>
    <w:rsid w:val="00155F9A"/>
    <w:rsid w:val="00160877"/>
    <w:rsid w:val="001614D9"/>
    <w:rsid w:val="0016555D"/>
    <w:rsid w:val="00167D8F"/>
    <w:rsid w:val="0017106E"/>
    <w:rsid w:val="0017246A"/>
    <w:rsid w:val="00172802"/>
    <w:rsid w:val="00172A27"/>
    <w:rsid w:val="00176548"/>
    <w:rsid w:val="00180AB6"/>
    <w:rsid w:val="00181489"/>
    <w:rsid w:val="0018196D"/>
    <w:rsid w:val="00182DC3"/>
    <w:rsid w:val="00184876"/>
    <w:rsid w:val="00191501"/>
    <w:rsid w:val="00191EAF"/>
    <w:rsid w:val="00193AF5"/>
    <w:rsid w:val="00196531"/>
    <w:rsid w:val="0019745C"/>
    <w:rsid w:val="001A38E9"/>
    <w:rsid w:val="001A5F94"/>
    <w:rsid w:val="001A7767"/>
    <w:rsid w:val="001A7961"/>
    <w:rsid w:val="001B317D"/>
    <w:rsid w:val="001B346E"/>
    <w:rsid w:val="001B3A93"/>
    <w:rsid w:val="001B6AB5"/>
    <w:rsid w:val="001B6E46"/>
    <w:rsid w:val="001C3633"/>
    <w:rsid w:val="001C6E37"/>
    <w:rsid w:val="001D1C41"/>
    <w:rsid w:val="001D387F"/>
    <w:rsid w:val="001D3A4E"/>
    <w:rsid w:val="001D7E8C"/>
    <w:rsid w:val="001E0C75"/>
    <w:rsid w:val="001E2670"/>
    <w:rsid w:val="001E3534"/>
    <w:rsid w:val="001E3DA4"/>
    <w:rsid w:val="001E4055"/>
    <w:rsid w:val="001E5D0C"/>
    <w:rsid w:val="001F00F8"/>
    <w:rsid w:val="001F05DA"/>
    <w:rsid w:val="001F1227"/>
    <w:rsid w:val="001F28A5"/>
    <w:rsid w:val="001F5320"/>
    <w:rsid w:val="00207784"/>
    <w:rsid w:val="00207F85"/>
    <w:rsid w:val="00214B3B"/>
    <w:rsid w:val="002157EF"/>
    <w:rsid w:val="00221271"/>
    <w:rsid w:val="0022676C"/>
    <w:rsid w:val="0023029A"/>
    <w:rsid w:val="00231148"/>
    <w:rsid w:val="00236472"/>
    <w:rsid w:val="0024046E"/>
    <w:rsid w:val="00242ABA"/>
    <w:rsid w:val="00243034"/>
    <w:rsid w:val="002433CE"/>
    <w:rsid w:val="00243A2A"/>
    <w:rsid w:val="00243CCC"/>
    <w:rsid w:val="002465F4"/>
    <w:rsid w:val="002530ED"/>
    <w:rsid w:val="00253B17"/>
    <w:rsid w:val="002542D0"/>
    <w:rsid w:val="00254B7A"/>
    <w:rsid w:val="00263465"/>
    <w:rsid w:val="00267C1A"/>
    <w:rsid w:val="00270816"/>
    <w:rsid w:val="002720A3"/>
    <w:rsid w:val="00273F9F"/>
    <w:rsid w:val="00274825"/>
    <w:rsid w:val="00277E5E"/>
    <w:rsid w:val="00280BA6"/>
    <w:rsid w:val="00281213"/>
    <w:rsid w:val="002847C8"/>
    <w:rsid w:val="002857D3"/>
    <w:rsid w:val="0029033F"/>
    <w:rsid w:val="002A28B9"/>
    <w:rsid w:val="002A2F71"/>
    <w:rsid w:val="002B1DDD"/>
    <w:rsid w:val="002B29B6"/>
    <w:rsid w:val="002B58CE"/>
    <w:rsid w:val="002B5A38"/>
    <w:rsid w:val="002C557B"/>
    <w:rsid w:val="002D2A8E"/>
    <w:rsid w:val="002D356A"/>
    <w:rsid w:val="002D5929"/>
    <w:rsid w:val="002D5EDC"/>
    <w:rsid w:val="002E42EA"/>
    <w:rsid w:val="002E7131"/>
    <w:rsid w:val="002F1F0B"/>
    <w:rsid w:val="002F24E4"/>
    <w:rsid w:val="002F6F9A"/>
    <w:rsid w:val="003007BA"/>
    <w:rsid w:val="00300969"/>
    <w:rsid w:val="00302B14"/>
    <w:rsid w:val="00303A7A"/>
    <w:rsid w:val="00306010"/>
    <w:rsid w:val="003108C8"/>
    <w:rsid w:val="0031230D"/>
    <w:rsid w:val="00322DBE"/>
    <w:rsid w:val="00333251"/>
    <w:rsid w:val="00333B38"/>
    <w:rsid w:val="00341435"/>
    <w:rsid w:val="00344CD5"/>
    <w:rsid w:val="00347971"/>
    <w:rsid w:val="00353FBA"/>
    <w:rsid w:val="00354EF2"/>
    <w:rsid w:val="003554AE"/>
    <w:rsid w:val="00355F7D"/>
    <w:rsid w:val="00362C18"/>
    <w:rsid w:val="00364AFE"/>
    <w:rsid w:val="003671B8"/>
    <w:rsid w:val="00372BAE"/>
    <w:rsid w:val="00375550"/>
    <w:rsid w:val="00380488"/>
    <w:rsid w:val="003837EF"/>
    <w:rsid w:val="00384770"/>
    <w:rsid w:val="00386C1E"/>
    <w:rsid w:val="003917B3"/>
    <w:rsid w:val="0039473D"/>
    <w:rsid w:val="00395884"/>
    <w:rsid w:val="00395CA8"/>
    <w:rsid w:val="00395DB1"/>
    <w:rsid w:val="003A015C"/>
    <w:rsid w:val="003A22F6"/>
    <w:rsid w:val="003A44B9"/>
    <w:rsid w:val="003A52BE"/>
    <w:rsid w:val="003A57BD"/>
    <w:rsid w:val="003A627C"/>
    <w:rsid w:val="003B4974"/>
    <w:rsid w:val="003C116A"/>
    <w:rsid w:val="003C28DD"/>
    <w:rsid w:val="003C411F"/>
    <w:rsid w:val="003C562F"/>
    <w:rsid w:val="003E3BE5"/>
    <w:rsid w:val="003E7A44"/>
    <w:rsid w:val="003F1AE5"/>
    <w:rsid w:val="003F2CBA"/>
    <w:rsid w:val="003F2E6E"/>
    <w:rsid w:val="003F3627"/>
    <w:rsid w:val="004021FE"/>
    <w:rsid w:val="00402AB1"/>
    <w:rsid w:val="00407F55"/>
    <w:rsid w:val="004112D5"/>
    <w:rsid w:val="004132BD"/>
    <w:rsid w:val="0042313F"/>
    <w:rsid w:val="0042768A"/>
    <w:rsid w:val="00441242"/>
    <w:rsid w:val="004415FB"/>
    <w:rsid w:val="004419C2"/>
    <w:rsid w:val="0044764B"/>
    <w:rsid w:val="004509F1"/>
    <w:rsid w:val="004551D2"/>
    <w:rsid w:val="0045771C"/>
    <w:rsid w:val="00477557"/>
    <w:rsid w:val="0048012D"/>
    <w:rsid w:val="00481039"/>
    <w:rsid w:val="00483938"/>
    <w:rsid w:val="00485E71"/>
    <w:rsid w:val="0048773F"/>
    <w:rsid w:val="00487985"/>
    <w:rsid w:val="004907BB"/>
    <w:rsid w:val="00496226"/>
    <w:rsid w:val="004A2E7E"/>
    <w:rsid w:val="004A4F35"/>
    <w:rsid w:val="004B24E7"/>
    <w:rsid w:val="004B6045"/>
    <w:rsid w:val="004B67DE"/>
    <w:rsid w:val="004C42F2"/>
    <w:rsid w:val="004C53FE"/>
    <w:rsid w:val="004C5F73"/>
    <w:rsid w:val="004D097D"/>
    <w:rsid w:val="004D101A"/>
    <w:rsid w:val="004D6750"/>
    <w:rsid w:val="004D766D"/>
    <w:rsid w:val="004F514F"/>
    <w:rsid w:val="004F7F2B"/>
    <w:rsid w:val="0050206D"/>
    <w:rsid w:val="005035E5"/>
    <w:rsid w:val="005108C3"/>
    <w:rsid w:val="0051250E"/>
    <w:rsid w:val="00527CFC"/>
    <w:rsid w:val="00527FDF"/>
    <w:rsid w:val="005314C2"/>
    <w:rsid w:val="0053210D"/>
    <w:rsid w:val="0053283D"/>
    <w:rsid w:val="005342F6"/>
    <w:rsid w:val="00542C79"/>
    <w:rsid w:val="00543603"/>
    <w:rsid w:val="0054534C"/>
    <w:rsid w:val="00547813"/>
    <w:rsid w:val="00553E88"/>
    <w:rsid w:val="00560E87"/>
    <w:rsid w:val="00562EF5"/>
    <w:rsid w:val="00567EB4"/>
    <w:rsid w:val="00570C05"/>
    <w:rsid w:val="00571B34"/>
    <w:rsid w:val="005732C7"/>
    <w:rsid w:val="00573A35"/>
    <w:rsid w:val="00575778"/>
    <w:rsid w:val="0057664F"/>
    <w:rsid w:val="005826A3"/>
    <w:rsid w:val="005853FB"/>
    <w:rsid w:val="00587130"/>
    <w:rsid w:val="00593B36"/>
    <w:rsid w:val="005952F9"/>
    <w:rsid w:val="005973E7"/>
    <w:rsid w:val="005A1E3F"/>
    <w:rsid w:val="005A3CE2"/>
    <w:rsid w:val="005A41F7"/>
    <w:rsid w:val="005A421C"/>
    <w:rsid w:val="005A5D0D"/>
    <w:rsid w:val="005B5403"/>
    <w:rsid w:val="005C0614"/>
    <w:rsid w:val="005C1924"/>
    <w:rsid w:val="005C33E6"/>
    <w:rsid w:val="005C3935"/>
    <w:rsid w:val="005C5F86"/>
    <w:rsid w:val="005D0372"/>
    <w:rsid w:val="005D2656"/>
    <w:rsid w:val="005D7A3A"/>
    <w:rsid w:val="005D7D36"/>
    <w:rsid w:val="005E047E"/>
    <w:rsid w:val="005E2853"/>
    <w:rsid w:val="005E3474"/>
    <w:rsid w:val="005E38FF"/>
    <w:rsid w:val="005F37BC"/>
    <w:rsid w:val="005F7D93"/>
    <w:rsid w:val="00610713"/>
    <w:rsid w:val="00612125"/>
    <w:rsid w:val="006122FA"/>
    <w:rsid w:val="00613EA1"/>
    <w:rsid w:val="0061620D"/>
    <w:rsid w:val="00617432"/>
    <w:rsid w:val="00621A8A"/>
    <w:rsid w:val="006274C7"/>
    <w:rsid w:val="00627649"/>
    <w:rsid w:val="006330F5"/>
    <w:rsid w:val="0063428D"/>
    <w:rsid w:val="00634F4D"/>
    <w:rsid w:val="006376E0"/>
    <w:rsid w:val="00637B87"/>
    <w:rsid w:val="00645E4B"/>
    <w:rsid w:val="006537E2"/>
    <w:rsid w:val="006540C7"/>
    <w:rsid w:val="00656832"/>
    <w:rsid w:val="00657201"/>
    <w:rsid w:val="0066338E"/>
    <w:rsid w:val="006633FE"/>
    <w:rsid w:val="00663DFF"/>
    <w:rsid w:val="00672C56"/>
    <w:rsid w:val="00672DC7"/>
    <w:rsid w:val="00675421"/>
    <w:rsid w:val="0068583A"/>
    <w:rsid w:val="00687756"/>
    <w:rsid w:val="00691A51"/>
    <w:rsid w:val="00695AE4"/>
    <w:rsid w:val="006A3811"/>
    <w:rsid w:val="006A4FF1"/>
    <w:rsid w:val="006A6B48"/>
    <w:rsid w:val="006B315E"/>
    <w:rsid w:val="006B3EBC"/>
    <w:rsid w:val="006C05DD"/>
    <w:rsid w:val="006C30DD"/>
    <w:rsid w:val="006C42F2"/>
    <w:rsid w:val="006C615B"/>
    <w:rsid w:val="006C6903"/>
    <w:rsid w:val="006D02D2"/>
    <w:rsid w:val="006D0A99"/>
    <w:rsid w:val="006D1247"/>
    <w:rsid w:val="006D4923"/>
    <w:rsid w:val="006E3C6C"/>
    <w:rsid w:val="006E509F"/>
    <w:rsid w:val="006E50FA"/>
    <w:rsid w:val="006E698A"/>
    <w:rsid w:val="006E719D"/>
    <w:rsid w:val="006F103E"/>
    <w:rsid w:val="0070297D"/>
    <w:rsid w:val="00702E21"/>
    <w:rsid w:val="00706954"/>
    <w:rsid w:val="00706A53"/>
    <w:rsid w:val="00711008"/>
    <w:rsid w:val="007140C6"/>
    <w:rsid w:val="007176D8"/>
    <w:rsid w:val="007179CC"/>
    <w:rsid w:val="007237F4"/>
    <w:rsid w:val="007250B1"/>
    <w:rsid w:val="007255A9"/>
    <w:rsid w:val="00726C0F"/>
    <w:rsid w:val="0072741C"/>
    <w:rsid w:val="00732514"/>
    <w:rsid w:val="007343A6"/>
    <w:rsid w:val="00737F37"/>
    <w:rsid w:val="00743D12"/>
    <w:rsid w:val="00744744"/>
    <w:rsid w:val="0075031E"/>
    <w:rsid w:val="00752694"/>
    <w:rsid w:val="007556C4"/>
    <w:rsid w:val="00761113"/>
    <w:rsid w:val="00764C0B"/>
    <w:rsid w:val="00767E89"/>
    <w:rsid w:val="00770BA5"/>
    <w:rsid w:val="00771711"/>
    <w:rsid w:val="00772D7A"/>
    <w:rsid w:val="00773DD5"/>
    <w:rsid w:val="00782574"/>
    <w:rsid w:val="00785545"/>
    <w:rsid w:val="00787994"/>
    <w:rsid w:val="0079317F"/>
    <w:rsid w:val="007A0158"/>
    <w:rsid w:val="007A5D21"/>
    <w:rsid w:val="007A5E95"/>
    <w:rsid w:val="007A7EFB"/>
    <w:rsid w:val="007B1D9E"/>
    <w:rsid w:val="007B45F1"/>
    <w:rsid w:val="007B6684"/>
    <w:rsid w:val="007C461C"/>
    <w:rsid w:val="007C55BD"/>
    <w:rsid w:val="007C6611"/>
    <w:rsid w:val="007C6EEA"/>
    <w:rsid w:val="007C737C"/>
    <w:rsid w:val="007D2C33"/>
    <w:rsid w:val="007D46E4"/>
    <w:rsid w:val="007D71DA"/>
    <w:rsid w:val="007E017F"/>
    <w:rsid w:val="007E5AE8"/>
    <w:rsid w:val="007E72BC"/>
    <w:rsid w:val="007F3CC8"/>
    <w:rsid w:val="007F495C"/>
    <w:rsid w:val="008014FF"/>
    <w:rsid w:val="00802240"/>
    <w:rsid w:val="00803B2C"/>
    <w:rsid w:val="00804CB0"/>
    <w:rsid w:val="00805F59"/>
    <w:rsid w:val="00813C0A"/>
    <w:rsid w:val="00815DD9"/>
    <w:rsid w:val="008225A3"/>
    <w:rsid w:val="00822D9D"/>
    <w:rsid w:val="00824DC8"/>
    <w:rsid w:val="008257F2"/>
    <w:rsid w:val="00827168"/>
    <w:rsid w:val="00830769"/>
    <w:rsid w:val="00836439"/>
    <w:rsid w:val="00837907"/>
    <w:rsid w:val="00840EE8"/>
    <w:rsid w:val="00843483"/>
    <w:rsid w:val="00844E44"/>
    <w:rsid w:val="00845518"/>
    <w:rsid w:val="00847A32"/>
    <w:rsid w:val="00851FD7"/>
    <w:rsid w:val="00852A42"/>
    <w:rsid w:val="00853D79"/>
    <w:rsid w:val="00855E6F"/>
    <w:rsid w:val="008623BF"/>
    <w:rsid w:val="008627A8"/>
    <w:rsid w:val="00863E9B"/>
    <w:rsid w:val="008651DD"/>
    <w:rsid w:val="0087286B"/>
    <w:rsid w:val="00877EC5"/>
    <w:rsid w:val="00883691"/>
    <w:rsid w:val="008934D5"/>
    <w:rsid w:val="00895C3D"/>
    <w:rsid w:val="00896F95"/>
    <w:rsid w:val="008A282D"/>
    <w:rsid w:val="008A3E0B"/>
    <w:rsid w:val="008A40BB"/>
    <w:rsid w:val="008A46E4"/>
    <w:rsid w:val="008A671F"/>
    <w:rsid w:val="008B56B3"/>
    <w:rsid w:val="008B7B78"/>
    <w:rsid w:val="008D0602"/>
    <w:rsid w:val="008D11A0"/>
    <w:rsid w:val="008D2D0E"/>
    <w:rsid w:val="008D3439"/>
    <w:rsid w:val="008D4F67"/>
    <w:rsid w:val="008D64E9"/>
    <w:rsid w:val="008E18D5"/>
    <w:rsid w:val="008E2905"/>
    <w:rsid w:val="008E3559"/>
    <w:rsid w:val="008E4356"/>
    <w:rsid w:val="008E4DD7"/>
    <w:rsid w:val="008F32EE"/>
    <w:rsid w:val="008F37FA"/>
    <w:rsid w:val="008F54E0"/>
    <w:rsid w:val="008F5E33"/>
    <w:rsid w:val="008F7252"/>
    <w:rsid w:val="008F75DB"/>
    <w:rsid w:val="008F79EE"/>
    <w:rsid w:val="0090025B"/>
    <w:rsid w:val="009024A7"/>
    <w:rsid w:val="00903439"/>
    <w:rsid w:val="009043B6"/>
    <w:rsid w:val="00904FE2"/>
    <w:rsid w:val="00906AB3"/>
    <w:rsid w:val="00907E06"/>
    <w:rsid w:val="00916CBF"/>
    <w:rsid w:val="00925F02"/>
    <w:rsid w:val="0093080E"/>
    <w:rsid w:val="00932919"/>
    <w:rsid w:val="00940423"/>
    <w:rsid w:val="0094125F"/>
    <w:rsid w:val="009433B0"/>
    <w:rsid w:val="0094389C"/>
    <w:rsid w:val="0094410B"/>
    <w:rsid w:val="0094670E"/>
    <w:rsid w:val="00950598"/>
    <w:rsid w:val="00953F4F"/>
    <w:rsid w:val="00953FAD"/>
    <w:rsid w:val="00954976"/>
    <w:rsid w:val="0095677D"/>
    <w:rsid w:val="0095795A"/>
    <w:rsid w:val="009601E7"/>
    <w:rsid w:val="00971B3E"/>
    <w:rsid w:val="009726A7"/>
    <w:rsid w:val="0097298E"/>
    <w:rsid w:val="009736B3"/>
    <w:rsid w:val="009754BE"/>
    <w:rsid w:val="00975E71"/>
    <w:rsid w:val="00977993"/>
    <w:rsid w:val="00977DE1"/>
    <w:rsid w:val="0098468D"/>
    <w:rsid w:val="009874F1"/>
    <w:rsid w:val="00992078"/>
    <w:rsid w:val="009936F3"/>
    <w:rsid w:val="00994876"/>
    <w:rsid w:val="00994A91"/>
    <w:rsid w:val="009A0C8A"/>
    <w:rsid w:val="009A5E11"/>
    <w:rsid w:val="009A65FA"/>
    <w:rsid w:val="009A79AC"/>
    <w:rsid w:val="009B04EE"/>
    <w:rsid w:val="009B1AD5"/>
    <w:rsid w:val="009B4C0A"/>
    <w:rsid w:val="009C569E"/>
    <w:rsid w:val="009C774C"/>
    <w:rsid w:val="009C7C8F"/>
    <w:rsid w:val="009D550C"/>
    <w:rsid w:val="009E0BDC"/>
    <w:rsid w:val="009E1242"/>
    <w:rsid w:val="009E7AB4"/>
    <w:rsid w:val="009E7BDC"/>
    <w:rsid w:val="009F0055"/>
    <w:rsid w:val="009F2515"/>
    <w:rsid w:val="009F329A"/>
    <w:rsid w:val="009F6297"/>
    <w:rsid w:val="009F6A5E"/>
    <w:rsid w:val="009F7009"/>
    <w:rsid w:val="009F76D8"/>
    <w:rsid w:val="009F775C"/>
    <w:rsid w:val="009F7CF9"/>
    <w:rsid w:val="00A02647"/>
    <w:rsid w:val="00A03FE6"/>
    <w:rsid w:val="00A05E08"/>
    <w:rsid w:val="00A0608F"/>
    <w:rsid w:val="00A1005B"/>
    <w:rsid w:val="00A117B7"/>
    <w:rsid w:val="00A14683"/>
    <w:rsid w:val="00A14DF8"/>
    <w:rsid w:val="00A17371"/>
    <w:rsid w:val="00A1779B"/>
    <w:rsid w:val="00A238F9"/>
    <w:rsid w:val="00A326E8"/>
    <w:rsid w:val="00A35811"/>
    <w:rsid w:val="00A36701"/>
    <w:rsid w:val="00A37ED0"/>
    <w:rsid w:val="00A43EB7"/>
    <w:rsid w:val="00A44F34"/>
    <w:rsid w:val="00A45446"/>
    <w:rsid w:val="00A46067"/>
    <w:rsid w:val="00A51611"/>
    <w:rsid w:val="00A6075F"/>
    <w:rsid w:val="00A614DE"/>
    <w:rsid w:val="00A617CE"/>
    <w:rsid w:val="00A631AD"/>
    <w:rsid w:val="00A73B23"/>
    <w:rsid w:val="00A74D25"/>
    <w:rsid w:val="00A7633B"/>
    <w:rsid w:val="00A76407"/>
    <w:rsid w:val="00A76ECB"/>
    <w:rsid w:val="00A8074D"/>
    <w:rsid w:val="00A82230"/>
    <w:rsid w:val="00A8368F"/>
    <w:rsid w:val="00A85A11"/>
    <w:rsid w:val="00A86F1A"/>
    <w:rsid w:val="00A912B0"/>
    <w:rsid w:val="00A95CA6"/>
    <w:rsid w:val="00AA0C23"/>
    <w:rsid w:val="00AA14A1"/>
    <w:rsid w:val="00AA17F6"/>
    <w:rsid w:val="00AA21A2"/>
    <w:rsid w:val="00AA568C"/>
    <w:rsid w:val="00AA7309"/>
    <w:rsid w:val="00AB05B3"/>
    <w:rsid w:val="00AB0FE5"/>
    <w:rsid w:val="00AB1177"/>
    <w:rsid w:val="00AB3FEE"/>
    <w:rsid w:val="00AB6943"/>
    <w:rsid w:val="00AC3C46"/>
    <w:rsid w:val="00AC63C0"/>
    <w:rsid w:val="00AC7E04"/>
    <w:rsid w:val="00AD1578"/>
    <w:rsid w:val="00AD1D0D"/>
    <w:rsid w:val="00AD5B79"/>
    <w:rsid w:val="00AD642B"/>
    <w:rsid w:val="00AD6DB0"/>
    <w:rsid w:val="00AE307C"/>
    <w:rsid w:val="00AE6819"/>
    <w:rsid w:val="00AE7044"/>
    <w:rsid w:val="00AE7436"/>
    <w:rsid w:val="00AF2F9C"/>
    <w:rsid w:val="00AF6DFE"/>
    <w:rsid w:val="00B00A1A"/>
    <w:rsid w:val="00B010E0"/>
    <w:rsid w:val="00B031CE"/>
    <w:rsid w:val="00B03609"/>
    <w:rsid w:val="00B038F7"/>
    <w:rsid w:val="00B045CF"/>
    <w:rsid w:val="00B10787"/>
    <w:rsid w:val="00B10EA8"/>
    <w:rsid w:val="00B130F7"/>
    <w:rsid w:val="00B203AA"/>
    <w:rsid w:val="00B20D08"/>
    <w:rsid w:val="00B2607F"/>
    <w:rsid w:val="00B2633E"/>
    <w:rsid w:val="00B31E9F"/>
    <w:rsid w:val="00B324D2"/>
    <w:rsid w:val="00B40BC2"/>
    <w:rsid w:val="00B41882"/>
    <w:rsid w:val="00B422CC"/>
    <w:rsid w:val="00B426D5"/>
    <w:rsid w:val="00B44342"/>
    <w:rsid w:val="00B458A5"/>
    <w:rsid w:val="00B45F84"/>
    <w:rsid w:val="00B46B1C"/>
    <w:rsid w:val="00B47466"/>
    <w:rsid w:val="00B47CF6"/>
    <w:rsid w:val="00B51E63"/>
    <w:rsid w:val="00B54AB0"/>
    <w:rsid w:val="00B565FE"/>
    <w:rsid w:val="00B56690"/>
    <w:rsid w:val="00B63626"/>
    <w:rsid w:val="00B63956"/>
    <w:rsid w:val="00B67487"/>
    <w:rsid w:val="00B76A23"/>
    <w:rsid w:val="00B83024"/>
    <w:rsid w:val="00B84E3F"/>
    <w:rsid w:val="00B92C1F"/>
    <w:rsid w:val="00B977A2"/>
    <w:rsid w:val="00BA575C"/>
    <w:rsid w:val="00BA5F2C"/>
    <w:rsid w:val="00BB6336"/>
    <w:rsid w:val="00BB7931"/>
    <w:rsid w:val="00BC306F"/>
    <w:rsid w:val="00BC41A6"/>
    <w:rsid w:val="00BD1973"/>
    <w:rsid w:val="00BD277A"/>
    <w:rsid w:val="00BD432D"/>
    <w:rsid w:val="00BD75DD"/>
    <w:rsid w:val="00BE4032"/>
    <w:rsid w:val="00BE6EDB"/>
    <w:rsid w:val="00BF1A5D"/>
    <w:rsid w:val="00C038A7"/>
    <w:rsid w:val="00C044D8"/>
    <w:rsid w:val="00C07D0E"/>
    <w:rsid w:val="00C14800"/>
    <w:rsid w:val="00C24E39"/>
    <w:rsid w:val="00C270A2"/>
    <w:rsid w:val="00C301CC"/>
    <w:rsid w:val="00C30800"/>
    <w:rsid w:val="00C31EE1"/>
    <w:rsid w:val="00C35B9F"/>
    <w:rsid w:val="00C3675E"/>
    <w:rsid w:val="00C36FD3"/>
    <w:rsid w:val="00C40589"/>
    <w:rsid w:val="00C40B85"/>
    <w:rsid w:val="00C434C2"/>
    <w:rsid w:val="00C51019"/>
    <w:rsid w:val="00C51FD3"/>
    <w:rsid w:val="00C57381"/>
    <w:rsid w:val="00C61F64"/>
    <w:rsid w:val="00C6223C"/>
    <w:rsid w:val="00C62B18"/>
    <w:rsid w:val="00C6374B"/>
    <w:rsid w:val="00C659C3"/>
    <w:rsid w:val="00C65ED0"/>
    <w:rsid w:val="00C71194"/>
    <w:rsid w:val="00C73FCA"/>
    <w:rsid w:val="00C747FB"/>
    <w:rsid w:val="00C800F2"/>
    <w:rsid w:val="00C84A93"/>
    <w:rsid w:val="00C85227"/>
    <w:rsid w:val="00C95DFA"/>
    <w:rsid w:val="00CA1CE2"/>
    <w:rsid w:val="00CA20A1"/>
    <w:rsid w:val="00CA3ED2"/>
    <w:rsid w:val="00CB03F3"/>
    <w:rsid w:val="00CB3B9F"/>
    <w:rsid w:val="00CB677B"/>
    <w:rsid w:val="00CB7518"/>
    <w:rsid w:val="00CB770B"/>
    <w:rsid w:val="00CC00B5"/>
    <w:rsid w:val="00CC09B6"/>
    <w:rsid w:val="00CC5AD5"/>
    <w:rsid w:val="00CD3DDE"/>
    <w:rsid w:val="00CE0387"/>
    <w:rsid w:val="00CE2414"/>
    <w:rsid w:val="00D003BD"/>
    <w:rsid w:val="00D004F6"/>
    <w:rsid w:val="00D05331"/>
    <w:rsid w:val="00D135A1"/>
    <w:rsid w:val="00D159D3"/>
    <w:rsid w:val="00D16603"/>
    <w:rsid w:val="00D16FBB"/>
    <w:rsid w:val="00D23D79"/>
    <w:rsid w:val="00D30441"/>
    <w:rsid w:val="00D3054A"/>
    <w:rsid w:val="00D3246E"/>
    <w:rsid w:val="00D33042"/>
    <w:rsid w:val="00D35EE5"/>
    <w:rsid w:val="00D36656"/>
    <w:rsid w:val="00D40782"/>
    <w:rsid w:val="00D51858"/>
    <w:rsid w:val="00D53AEF"/>
    <w:rsid w:val="00D55ED9"/>
    <w:rsid w:val="00D606DC"/>
    <w:rsid w:val="00D65117"/>
    <w:rsid w:val="00D71143"/>
    <w:rsid w:val="00D71C4D"/>
    <w:rsid w:val="00D73476"/>
    <w:rsid w:val="00D7351E"/>
    <w:rsid w:val="00D7743C"/>
    <w:rsid w:val="00D77B4A"/>
    <w:rsid w:val="00D82984"/>
    <w:rsid w:val="00D83F14"/>
    <w:rsid w:val="00D85EBE"/>
    <w:rsid w:val="00D86F05"/>
    <w:rsid w:val="00D91103"/>
    <w:rsid w:val="00DA7F3C"/>
    <w:rsid w:val="00DB38C3"/>
    <w:rsid w:val="00DB442B"/>
    <w:rsid w:val="00DC28C4"/>
    <w:rsid w:val="00DC450E"/>
    <w:rsid w:val="00DC4B88"/>
    <w:rsid w:val="00DC7235"/>
    <w:rsid w:val="00DC7340"/>
    <w:rsid w:val="00DD0F0C"/>
    <w:rsid w:val="00DD3CB0"/>
    <w:rsid w:val="00DD5FB4"/>
    <w:rsid w:val="00DD6933"/>
    <w:rsid w:val="00DE0C57"/>
    <w:rsid w:val="00DE28DA"/>
    <w:rsid w:val="00DE3006"/>
    <w:rsid w:val="00DF0450"/>
    <w:rsid w:val="00DF379E"/>
    <w:rsid w:val="00DF6D04"/>
    <w:rsid w:val="00E02552"/>
    <w:rsid w:val="00E05ADF"/>
    <w:rsid w:val="00E07718"/>
    <w:rsid w:val="00E07F00"/>
    <w:rsid w:val="00E1186A"/>
    <w:rsid w:val="00E1485E"/>
    <w:rsid w:val="00E150D6"/>
    <w:rsid w:val="00E15528"/>
    <w:rsid w:val="00E230B3"/>
    <w:rsid w:val="00E26662"/>
    <w:rsid w:val="00E3403E"/>
    <w:rsid w:val="00E3436D"/>
    <w:rsid w:val="00E36AE4"/>
    <w:rsid w:val="00E40848"/>
    <w:rsid w:val="00E4773C"/>
    <w:rsid w:val="00E52B71"/>
    <w:rsid w:val="00E53DA1"/>
    <w:rsid w:val="00E5427A"/>
    <w:rsid w:val="00E553A8"/>
    <w:rsid w:val="00E562C6"/>
    <w:rsid w:val="00E57886"/>
    <w:rsid w:val="00E64ADE"/>
    <w:rsid w:val="00E65617"/>
    <w:rsid w:val="00E65D97"/>
    <w:rsid w:val="00E705E5"/>
    <w:rsid w:val="00E71065"/>
    <w:rsid w:val="00E71970"/>
    <w:rsid w:val="00E73545"/>
    <w:rsid w:val="00E744BB"/>
    <w:rsid w:val="00E75FF2"/>
    <w:rsid w:val="00E774E7"/>
    <w:rsid w:val="00E810B3"/>
    <w:rsid w:val="00E82EC4"/>
    <w:rsid w:val="00E90C13"/>
    <w:rsid w:val="00E95E04"/>
    <w:rsid w:val="00E96C19"/>
    <w:rsid w:val="00E97C34"/>
    <w:rsid w:val="00EA0157"/>
    <w:rsid w:val="00EA3AF8"/>
    <w:rsid w:val="00EB2718"/>
    <w:rsid w:val="00EB3CA0"/>
    <w:rsid w:val="00EB5EE8"/>
    <w:rsid w:val="00EC1F58"/>
    <w:rsid w:val="00EC2E85"/>
    <w:rsid w:val="00EC3C07"/>
    <w:rsid w:val="00EC51EF"/>
    <w:rsid w:val="00EC7638"/>
    <w:rsid w:val="00ED36FB"/>
    <w:rsid w:val="00ED3C4E"/>
    <w:rsid w:val="00ED6BE4"/>
    <w:rsid w:val="00EE1E45"/>
    <w:rsid w:val="00EE2F39"/>
    <w:rsid w:val="00EE7A14"/>
    <w:rsid w:val="00EF048C"/>
    <w:rsid w:val="00F00640"/>
    <w:rsid w:val="00F13C09"/>
    <w:rsid w:val="00F176A0"/>
    <w:rsid w:val="00F17FE1"/>
    <w:rsid w:val="00F25EAC"/>
    <w:rsid w:val="00F272A5"/>
    <w:rsid w:val="00F27918"/>
    <w:rsid w:val="00F27CB5"/>
    <w:rsid w:val="00F27E06"/>
    <w:rsid w:val="00F30372"/>
    <w:rsid w:val="00F3199A"/>
    <w:rsid w:val="00F32D3B"/>
    <w:rsid w:val="00F35A7C"/>
    <w:rsid w:val="00F508BC"/>
    <w:rsid w:val="00F530B0"/>
    <w:rsid w:val="00F53149"/>
    <w:rsid w:val="00F53A46"/>
    <w:rsid w:val="00F545F7"/>
    <w:rsid w:val="00F54768"/>
    <w:rsid w:val="00F70D79"/>
    <w:rsid w:val="00F71ECE"/>
    <w:rsid w:val="00F74BED"/>
    <w:rsid w:val="00F828F5"/>
    <w:rsid w:val="00F83F15"/>
    <w:rsid w:val="00F844C7"/>
    <w:rsid w:val="00F8628E"/>
    <w:rsid w:val="00F90AEA"/>
    <w:rsid w:val="00F93F05"/>
    <w:rsid w:val="00F9403F"/>
    <w:rsid w:val="00F950DA"/>
    <w:rsid w:val="00F9510F"/>
    <w:rsid w:val="00F955C6"/>
    <w:rsid w:val="00F95940"/>
    <w:rsid w:val="00F96457"/>
    <w:rsid w:val="00F97688"/>
    <w:rsid w:val="00F97D36"/>
    <w:rsid w:val="00FA3BF8"/>
    <w:rsid w:val="00FA5986"/>
    <w:rsid w:val="00FA78A4"/>
    <w:rsid w:val="00FB017C"/>
    <w:rsid w:val="00FB423A"/>
    <w:rsid w:val="00FB5E9B"/>
    <w:rsid w:val="00FB73FC"/>
    <w:rsid w:val="00FC0801"/>
    <w:rsid w:val="00FD12B9"/>
    <w:rsid w:val="00FD1483"/>
    <w:rsid w:val="00FD5E75"/>
    <w:rsid w:val="00FD6299"/>
    <w:rsid w:val="00FD68E4"/>
    <w:rsid w:val="00FE0EC7"/>
    <w:rsid w:val="00FE1C93"/>
    <w:rsid w:val="00FE26BD"/>
    <w:rsid w:val="00FE3E9D"/>
    <w:rsid w:val="00FE6562"/>
    <w:rsid w:val="00FF2058"/>
    <w:rsid w:val="011F207C"/>
    <w:rsid w:val="01451617"/>
    <w:rsid w:val="01D02AB2"/>
    <w:rsid w:val="01D10199"/>
    <w:rsid w:val="01F5424D"/>
    <w:rsid w:val="02004435"/>
    <w:rsid w:val="026537B5"/>
    <w:rsid w:val="02800A25"/>
    <w:rsid w:val="02A85560"/>
    <w:rsid w:val="02CF585A"/>
    <w:rsid w:val="02ED2D49"/>
    <w:rsid w:val="032701A1"/>
    <w:rsid w:val="03BD2ACA"/>
    <w:rsid w:val="046E395C"/>
    <w:rsid w:val="046F69EC"/>
    <w:rsid w:val="04D83494"/>
    <w:rsid w:val="04DC12A2"/>
    <w:rsid w:val="05010908"/>
    <w:rsid w:val="05A9625C"/>
    <w:rsid w:val="0619673F"/>
    <w:rsid w:val="0640290E"/>
    <w:rsid w:val="064C21D9"/>
    <w:rsid w:val="06666654"/>
    <w:rsid w:val="06C41A3A"/>
    <w:rsid w:val="07004918"/>
    <w:rsid w:val="077913F5"/>
    <w:rsid w:val="07CA0837"/>
    <w:rsid w:val="08B22987"/>
    <w:rsid w:val="09095D4D"/>
    <w:rsid w:val="09676ECC"/>
    <w:rsid w:val="0A955E54"/>
    <w:rsid w:val="0A9A5594"/>
    <w:rsid w:val="0AFC246D"/>
    <w:rsid w:val="0AFD169B"/>
    <w:rsid w:val="0B5415B7"/>
    <w:rsid w:val="0B783959"/>
    <w:rsid w:val="0BD77F0B"/>
    <w:rsid w:val="0C313D73"/>
    <w:rsid w:val="0CD92AFD"/>
    <w:rsid w:val="0D7C1E8D"/>
    <w:rsid w:val="0D9D328F"/>
    <w:rsid w:val="0DDE36D9"/>
    <w:rsid w:val="0DED31C6"/>
    <w:rsid w:val="0E6F2A74"/>
    <w:rsid w:val="0ECF6036"/>
    <w:rsid w:val="0ED84F31"/>
    <w:rsid w:val="0F6B354D"/>
    <w:rsid w:val="0F933462"/>
    <w:rsid w:val="0F9A44A5"/>
    <w:rsid w:val="101E60DA"/>
    <w:rsid w:val="103462E3"/>
    <w:rsid w:val="10B912E4"/>
    <w:rsid w:val="10DB6B98"/>
    <w:rsid w:val="10E80875"/>
    <w:rsid w:val="11103FC0"/>
    <w:rsid w:val="1133517F"/>
    <w:rsid w:val="11B80C84"/>
    <w:rsid w:val="11BC0B69"/>
    <w:rsid w:val="11BF43E1"/>
    <w:rsid w:val="12184060"/>
    <w:rsid w:val="12517251"/>
    <w:rsid w:val="1258460F"/>
    <w:rsid w:val="12E70038"/>
    <w:rsid w:val="12F639E2"/>
    <w:rsid w:val="13E74406"/>
    <w:rsid w:val="13FB6919"/>
    <w:rsid w:val="145345D0"/>
    <w:rsid w:val="149D6F77"/>
    <w:rsid w:val="14C91C4B"/>
    <w:rsid w:val="14ED07AC"/>
    <w:rsid w:val="162967FA"/>
    <w:rsid w:val="16374A66"/>
    <w:rsid w:val="16E81AF3"/>
    <w:rsid w:val="170027F3"/>
    <w:rsid w:val="171811CF"/>
    <w:rsid w:val="171827FE"/>
    <w:rsid w:val="172D632D"/>
    <w:rsid w:val="17844B95"/>
    <w:rsid w:val="17F900E2"/>
    <w:rsid w:val="183D3EF6"/>
    <w:rsid w:val="18D95D07"/>
    <w:rsid w:val="193E71D4"/>
    <w:rsid w:val="19C84A25"/>
    <w:rsid w:val="19D468B0"/>
    <w:rsid w:val="19DE234E"/>
    <w:rsid w:val="19E41ED8"/>
    <w:rsid w:val="1A0F731A"/>
    <w:rsid w:val="1A2B1015"/>
    <w:rsid w:val="1AB941AF"/>
    <w:rsid w:val="1AF15D01"/>
    <w:rsid w:val="1AFC093E"/>
    <w:rsid w:val="1B07542F"/>
    <w:rsid w:val="1B4E4CA2"/>
    <w:rsid w:val="1B5C79CB"/>
    <w:rsid w:val="1B751D18"/>
    <w:rsid w:val="1BA55066"/>
    <w:rsid w:val="1BC85627"/>
    <w:rsid w:val="1C140ED2"/>
    <w:rsid w:val="1C2A4725"/>
    <w:rsid w:val="1C3A6F38"/>
    <w:rsid w:val="1C3D2078"/>
    <w:rsid w:val="1C54798F"/>
    <w:rsid w:val="1C567084"/>
    <w:rsid w:val="1C787805"/>
    <w:rsid w:val="1CA46814"/>
    <w:rsid w:val="1CAA7B42"/>
    <w:rsid w:val="1CEF08F7"/>
    <w:rsid w:val="1D1D3848"/>
    <w:rsid w:val="1D5559C4"/>
    <w:rsid w:val="1D8C49B3"/>
    <w:rsid w:val="1D9221AE"/>
    <w:rsid w:val="1DC72373"/>
    <w:rsid w:val="1DCA0ACE"/>
    <w:rsid w:val="1E624FDC"/>
    <w:rsid w:val="1E846710"/>
    <w:rsid w:val="1F095BCD"/>
    <w:rsid w:val="1F6A5B44"/>
    <w:rsid w:val="1F8C33D8"/>
    <w:rsid w:val="1FA61124"/>
    <w:rsid w:val="203F7481"/>
    <w:rsid w:val="206F0830"/>
    <w:rsid w:val="210E560A"/>
    <w:rsid w:val="213C07C4"/>
    <w:rsid w:val="21861171"/>
    <w:rsid w:val="21B22BDC"/>
    <w:rsid w:val="21E203CA"/>
    <w:rsid w:val="21E679B2"/>
    <w:rsid w:val="2273010A"/>
    <w:rsid w:val="22795133"/>
    <w:rsid w:val="22EC602D"/>
    <w:rsid w:val="232048D5"/>
    <w:rsid w:val="235264F6"/>
    <w:rsid w:val="23941C99"/>
    <w:rsid w:val="239C641C"/>
    <w:rsid w:val="23B03951"/>
    <w:rsid w:val="24126235"/>
    <w:rsid w:val="244C1094"/>
    <w:rsid w:val="24AE46E6"/>
    <w:rsid w:val="257A7096"/>
    <w:rsid w:val="25924D78"/>
    <w:rsid w:val="25B674B8"/>
    <w:rsid w:val="25D64E62"/>
    <w:rsid w:val="2618211C"/>
    <w:rsid w:val="262A3A9E"/>
    <w:rsid w:val="26883498"/>
    <w:rsid w:val="26973388"/>
    <w:rsid w:val="26A81875"/>
    <w:rsid w:val="26E21B4F"/>
    <w:rsid w:val="26E8774E"/>
    <w:rsid w:val="272F4F6B"/>
    <w:rsid w:val="273B190E"/>
    <w:rsid w:val="27831DB0"/>
    <w:rsid w:val="27977392"/>
    <w:rsid w:val="27A157A3"/>
    <w:rsid w:val="27BE3246"/>
    <w:rsid w:val="28571067"/>
    <w:rsid w:val="2859424B"/>
    <w:rsid w:val="28846FF5"/>
    <w:rsid w:val="28BB286E"/>
    <w:rsid w:val="28EA700D"/>
    <w:rsid w:val="290A3FC7"/>
    <w:rsid w:val="29331B25"/>
    <w:rsid w:val="2956362B"/>
    <w:rsid w:val="29640060"/>
    <w:rsid w:val="29E40A37"/>
    <w:rsid w:val="2A661171"/>
    <w:rsid w:val="2AA33891"/>
    <w:rsid w:val="2AD95982"/>
    <w:rsid w:val="2B003A53"/>
    <w:rsid w:val="2B0652AD"/>
    <w:rsid w:val="2B580AE3"/>
    <w:rsid w:val="2BAF43BC"/>
    <w:rsid w:val="2BEC5DDC"/>
    <w:rsid w:val="2C3867CC"/>
    <w:rsid w:val="2C601AAE"/>
    <w:rsid w:val="2C6572D5"/>
    <w:rsid w:val="2CFC09A9"/>
    <w:rsid w:val="2E805C69"/>
    <w:rsid w:val="2E833361"/>
    <w:rsid w:val="2ED93B14"/>
    <w:rsid w:val="2F2453BB"/>
    <w:rsid w:val="2F5505BD"/>
    <w:rsid w:val="2F8730B0"/>
    <w:rsid w:val="2FC36919"/>
    <w:rsid w:val="2FEA7B98"/>
    <w:rsid w:val="30C554D9"/>
    <w:rsid w:val="30D048DF"/>
    <w:rsid w:val="30D129AB"/>
    <w:rsid w:val="3156092A"/>
    <w:rsid w:val="317A6C42"/>
    <w:rsid w:val="31D93881"/>
    <w:rsid w:val="31DB7C69"/>
    <w:rsid w:val="320F4BFD"/>
    <w:rsid w:val="32D56289"/>
    <w:rsid w:val="32FB5660"/>
    <w:rsid w:val="33081B36"/>
    <w:rsid w:val="3310790D"/>
    <w:rsid w:val="334272A8"/>
    <w:rsid w:val="34473832"/>
    <w:rsid w:val="3494403D"/>
    <w:rsid w:val="34A71EA8"/>
    <w:rsid w:val="34B71A4D"/>
    <w:rsid w:val="34CA6468"/>
    <w:rsid w:val="34E1358D"/>
    <w:rsid w:val="34F86E65"/>
    <w:rsid w:val="35134CA0"/>
    <w:rsid w:val="352923F9"/>
    <w:rsid w:val="35A22390"/>
    <w:rsid w:val="35F049E2"/>
    <w:rsid w:val="36214303"/>
    <w:rsid w:val="362C5372"/>
    <w:rsid w:val="36425D0B"/>
    <w:rsid w:val="365340B6"/>
    <w:rsid w:val="372F21F8"/>
    <w:rsid w:val="375A10AE"/>
    <w:rsid w:val="375F18CE"/>
    <w:rsid w:val="376257E8"/>
    <w:rsid w:val="38423130"/>
    <w:rsid w:val="38484A65"/>
    <w:rsid w:val="38773C14"/>
    <w:rsid w:val="38BA2FC4"/>
    <w:rsid w:val="38F55721"/>
    <w:rsid w:val="394A53C8"/>
    <w:rsid w:val="395A2EF3"/>
    <w:rsid w:val="3980252A"/>
    <w:rsid w:val="39CA7CCC"/>
    <w:rsid w:val="3AB37B29"/>
    <w:rsid w:val="3AF1412E"/>
    <w:rsid w:val="3B020DE5"/>
    <w:rsid w:val="3B416552"/>
    <w:rsid w:val="3B5974BC"/>
    <w:rsid w:val="3BA0123F"/>
    <w:rsid w:val="3BE56851"/>
    <w:rsid w:val="3C0F349F"/>
    <w:rsid w:val="3C23667B"/>
    <w:rsid w:val="3C801A98"/>
    <w:rsid w:val="3C8131E6"/>
    <w:rsid w:val="3D40793E"/>
    <w:rsid w:val="3D603E83"/>
    <w:rsid w:val="3E093478"/>
    <w:rsid w:val="3E6E089A"/>
    <w:rsid w:val="3EB16E74"/>
    <w:rsid w:val="3EC56F29"/>
    <w:rsid w:val="3EDD7BE3"/>
    <w:rsid w:val="40AE2F11"/>
    <w:rsid w:val="40BF527A"/>
    <w:rsid w:val="4108678B"/>
    <w:rsid w:val="41112EAF"/>
    <w:rsid w:val="417001A9"/>
    <w:rsid w:val="419C3BA7"/>
    <w:rsid w:val="41F56BFC"/>
    <w:rsid w:val="41F57B59"/>
    <w:rsid w:val="420F5080"/>
    <w:rsid w:val="422D477E"/>
    <w:rsid w:val="42E10983"/>
    <w:rsid w:val="4324232E"/>
    <w:rsid w:val="43777B1A"/>
    <w:rsid w:val="44064C0A"/>
    <w:rsid w:val="440A3B00"/>
    <w:rsid w:val="44590592"/>
    <w:rsid w:val="4484504F"/>
    <w:rsid w:val="44A162CA"/>
    <w:rsid w:val="44D1498B"/>
    <w:rsid w:val="44E8224B"/>
    <w:rsid w:val="44F25A6D"/>
    <w:rsid w:val="451C3A5B"/>
    <w:rsid w:val="451F4398"/>
    <w:rsid w:val="45200C67"/>
    <w:rsid w:val="45416E53"/>
    <w:rsid w:val="45454351"/>
    <w:rsid w:val="45924B58"/>
    <w:rsid w:val="465F3606"/>
    <w:rsid w:val="476429D6"/>
    <w:rsid w:val="47642B80"/>
    <w:rsid w:val="48007DAE"/>
    <w:rsid w:val="4867562D"/>
    <w:rsid w:val="487930C8"/>
    <w:rsid w:val="48B86CF0"/>
    <w:rsid w:val="48C47CE4"/>
    <w:rsid w:val="4904130A"/>
    <w:rsid w:val="49B4471E"/>
    <w:rsid w:val="49EB0C03"/>
    <w:rsid w:val="4A1D6C12"/>
    <w:rsid w:val="4AF808DE"/>
    <w:rsid w:val="4C156106"/>
    <w:rsid w:val="4C440B37"/>
    <w:rsid w:val="4CC076E7"/>
    <w:rsid w:val="4D9A0728"/>
    <w:rsid w:val="4DDA0532"/>
    <w:rsid w:val="4E124D9C"/>
    <w:rsid w:val="4E862901"/>
    <w:rsid w:val="4F201116"/>
    <w:rsid w:val="4F4F4F27"/>
    <w:rsid w:val="4F693F55"/>
    <w:rsid w:val="4FB410C6"/>
    <w:rsid w:val="4FBA2837"/>
    <w:rsid w:val="50B47C55"/>
    <w:rsid w:val="51A750B1"/>
    <w:rsid w:val="51F50869"/>
    <w:rsid w:val="51F579D8"/>
    <w:rsid w:val="525B5B50"/>
    <w:rsid w:val="529F3413"/>
    <w:rsid w:val="52B61114"/>
    <w:rsid w:val="52D12917"/>
    <w:rsid w:val="5365200D"/>
    <w:rsid w:val="53875AEB"/>
    <w:rsid w:val="53B512FC"/>
    <w:rsid w:val="53C13730"/>
    <w:rsid w:val="53DC0B3F"/>
    <w:rsid w:val="543F2630"/>
    <w:rsid w:val="55463E0E"/>
    <w:rsid w:val="559E4D14"/>
    <w:rsid w:val="567446C9"/>
    <w:rsid w:val="56770FEB"/>
    <w:rsid w:val="570874BF"/>
    <w:rsid w:val="575E195E"/>
    <w:rsid w:val="578D661C"/>
    <w:rsid w:val="57AD45F2"/>
    <w:rsid w:val="57D93C69"/>
    <w:rsid w:val="57E15D25"/>
    <w:rsid w:val="580541DC"/>
    <w:rsid w:val="581319B2"/>
    <w:rsid w:val="583728AA"/>
    <w:rsid w:val="584C05BC"/>
    <w:rsid w:val="58931FBE"/>
    <w:rsid w:val="58E03F75"/>
    <w:rsid w:val="59236347"/>
    <w:rsid w:val="593E6804"/>
    <w:rsid w:val="59430BAC"/>
    <w:rsid w:val="59CE3870"/>
    <w:rsid w:val="5A020725"/>
    <w:rsid w:val="5A3C6788"/>
    <w:rsid w:val="5AD535F4"/>
    <w:rsid w:val="5B3E1238"/>
    <w:rsid w:val="5B822AB7"/>
    <w:rsid w:val="5BE92628"/>
    <w:rsid w:val="5C4F41DE"/>
    <w:rsid w:val="5CAF1D9D"/>
    <w:rsid w:val="5CCB15B0"/>
    <w:rsid w:val="5CCC47C3"/>
    <w:rsid w:val="5D0A24E4"/>
    <w:rsid w:val="5D754F84"/>
    <w:rsid w:val="5E581757"/>
    <w:rsid w:val="5E6D408C"/>
    <w:rsid w:val="5F19636A"/>
    <w:rsid w:val="5F874AA3"/>
    <w:rsid w:val="5FC93642"/>
    <w:rsid w:val="5FE230D6"/>
    <w:rsid w:val="60286AAB"/>
    <w:rsid w:val="60366135"/>
    <w:rsid w:val="61313516"/>
    <w:rsid w:val="61526E4C"/>
    <w:rsid w:val="615F18A1"/>
    <w:rsid w:val="61923D34"/>
    <w:rsid w:val="619563AB"/>
    <w:rsid w:val="621237C8"/>
    <w:rsid w:val="62B70466"/>
    <w:rsid w:val="62F83C5C"/>
    <w:rsid w:val="6333559F"/>
    <w:rsid w:val="63BB5EFC"/>
    <w:rsid w:val="63DF24D7"/>
    <w:rsid w:val="643A0CA1"/>
    <w:rsid w:val="64A33866"/>
    <w:rsid w:val="652733C9"/>
    <w:rsid w:val="653A51FC"/>
    <w:rsid w:val="65D53938"/>
    <w:rsid w:val="65F50AC7"/>
    <w:rsid w:val="66035730"/>
    <w:rsid w:val="662A3085"/>
    <w:rsid w:val="665B5863"/>
    <w:rsid w:val="66C75BBC"/>
    <w:rsid w:val="68100B3A"/>
    <w:rsid w:val="68507D37"/>
    <w:rsid w:val="68C76778"/>
    <w:rsid w:val="699A7243"/>
    <w:rsid w:val="69C56AE9"/>
    <w:rsid w:val="69CA7262"/>
    <w:rsid w:val="69F27CE2"/>
    <w:rsid w:val="6A1A25C0"/>
    <w:rsid w:val="6A1C1761"/>
    <w:rsid w:val="6A2C0CFE"/>
    <w:rsid w:val="6A815B8D"/>
    <w:rsid w:val="6A922256"/>
    <w:rsid w:val="6B186C64"/>
    <w:rsid w:val="6B472947"/>
    <w:rsid w:val="6B566C4B"/>
    <w:rsid w:val="6BB0179B"/>
    <w:rsid w:val="6C0A7F14"/>
    <w:rsid w:val="6C99199C"/>
    <w:rsid w:val="6CAA11DD"/>
    <w:rsid w:val="6CFA26D5"/>
    <w:rsid w:val="6D255124"/>
    <w:rsid w:val="6D9A4EDB"/>
    <w:rsid w:val="6E0120B8"/>
    <w:rsid w:val="6E541DB5"/>
    <w:rsid w:val="6F3940D5"/>
    <w:rsid w:val="6F3E544F"/>
    <w:rsid w:val="6F6B5E32"/>
    <w:rsid w:val="6F727C70"/>
    <w:rsid w:val="6FFE59C4"/>
    <w:rsid w:val="700E52CD"/>
    <w:rsid w:val="704F5792"/>
    <w:rsid w:val="706734D0"/>
    <w:rsid w:val="712C4F0E"/>
    <w:rsid w:val="71CE369F"/>
    <w:rsid w:val="72792E53"/>
    <w:rsid w:val="727C5CB2"/>
    <w:rsid w:val="72B25997"/>
    <w:rsid w:val="72B44D62"/>
    <w:rsid w:val="72DE599D"/>
    <w:rsid w:val="72FD4413"/>
    <w:rsid w:val="733C2AFF"/>
    <w:rsid w:val="73446D1D"/>
    <w:rsid w:val="73C84E57"/>
    <w:rsid w:val="7472539D"/>
    <w:rsid w:val="74BB5195"/>
    <w:rsid w:val="74C651B7"/>
    <w:rsid w:val="750446A6"/>
    <w:rsid w:val="751A443D"/>
    <w:rsid w:val="755C2894"/>
    <w:rsid w:val="7623361C"/>
    <w:rsid w:val="771504D1"/>
    <w:rsid w:val="77211224"/>
    <w:rsid w:val="774D204E"/>
    <w:rsid w:val="775C0285"/>
    <w:rsid w:val="776954E8"/>
    <w:rsid w:val="7799481B"/>
    <w:rsid w:val="77C46047"/>
    <w:rsid w:val="77F0472D"/>
    <w:rsid w:val="78965682"/>
    <w:rsid w:val="78FD50E3"/>
    <w:rsid w:val="7A6E44BF"/>
    <w:rsid w:val="7A98230D"/>
    <w:rsid w:val="7ADE1702"/>
    <w:rsid w:val="7B1E3C29"/>
    <w:rsid w:val="7B511164"/>
    <w:rsid w:val="7B9F1C78"/>
    <w:rsid w:val="7BA04653"/>
    <w:rsid w:val="7BB26B7B"/>
    <w:rsid w:val="7C09215C"/>
    <w:rsid w:val="7C2807C7"/>
    <w:rsid w:val="7C994FCB"/>
    <w:rsid w:val="7D0F2B0A"/>
    <w:rsid w:val="7D3D59DA"/>
    <w:rsid w:val="7D4A238C"/>
    <w:rsid w:val="7D706C48"/>
    <w:rsid w:val="7D7C5568"/>
    <w:rsid w:val="7DB62207"/>
    <w:rsid w:val="7E59725B"/>
    <w:rsid w:val="7E6147C6"/>
    <w:rsid w:val="7E8C0F81"/>
    <w:rsid w:val="7ED65CF8"/>
    <w:rsid w:val="7EE00244"/>
    <w:rsid w:val="7F456492"/>
    <w:rsid w:val="7F502827"/>
    <w:rsid w:val="7F52558F"/>
    <w:rsid w:val="7F9243BE"/>
    <w:rsid w:val="7FBE5AFE"/>
    <w:rsid w:val="7FDC653E"/>
    <w:rsid w:val="7FDD7D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5"/>
    <w:qFormat/>
    <w:uiPriority w:val="99"/>
    <w:pPr>
      <w:keepNext/>
      <w:keepLines/>
      <w:adjustRightInd w:val="0"/>
      <w:spacing w:before="340" w:after="330" w:line="578" w:lineRule="atLeast"/>
      <w:textAlignment w:val="baseline"/>
      <w:outlineLvl w:val="0"/>
    </w:pPr>
    <w:rPr>
      <w:b/>
      <w:kern w:val="44"/>
      <w:sz w:val="44"/>
    </w:rPr>
  </w:style>
  <w:style w:type="paragraph" w:styleId="6">
    <w:name w:val="heading 2"/>
    <w:basedOn w:val="1"/>
    <w:next w:val="1"/>
    <w:link w:val="66"/>
    <w:qFormat/>
    <w:uiPriority w:val="99"/>
    <w:pPr>
      <w:keepNext/>
      <w:keepLines/>
      <w:adjustRightInd w:val="0"/>
      <w:spacing w:before="260" w:after="260" w:line="416" w:lineRule="atLeast"/>
      <w:textAlignment w:val="baseline"/>
      <w:outlineLvl w:val="1"/>
    </w:pPr>
    <w:rPr>
      <w:rFonts w:ascii="Arial" w:hAnsi="Arial" w:eastAsia="黑体"/>
      <w:b/>
      <w:kern w:val="0"/>
      <w:sz w:val="32"/>
    </w:rPr>
  </w:style>
  <w:style w:type="paragraph" w:styleId="7">
    <w:name w:val="heading 3"/>
    <w:basedOn w:val="1"/>
    <w:next w:val="1"/>
    <w:link w:val="67"/>
    <w:qFormat/>
    <w:uiPriority w:val="99"/>
    <w:pPr>
      <w:keepNext/>
      <w:keepLines/>
      <w:adjustRightInd w:val="0"/>
      <w:spacing w:before="260" w:after="260" w:line="416" w:lineRule="atLeast"/>
      <w:textAlignment w:val="baseline"/>
      <w:outlineLvl w:val="2"/>
    </w:pPr>
    <w:rPr>
      <w:b/>
      <w:kern w:val="0"/>
      <w:sz w:val="32"/>
    </w:rPr>
  </w:style>
  <w:style w:type="paragraph" w:styleId="8">
    <w:name w:val="heading 4"/>
    <w:basedOn w:val="1"/>
    <w:next w:val="1"/>
    <w:link w:val="68"/>
    <w:qFormat/>
    <w:uiPriority w:val="99"/>
    <w:pPr>
      <w:keepNext/>
      <w:keepLines/>
      <w:adjustRightInd w:val="0"/>
      <w:spacing w:before="280" w:after="290" w:line="376" w:lineRule="atLeast"/>
      <w:textAlignment w:val="baseline"/>
      <w:outlineLvl w:val="3"/>
    </w:pPr>
    <w:rPr>
      <w:rFonts w:ascii="Arial" w:hAnsi="Arial" w:eastAsia="黑体"/>
      <w:b/>
      <w:sz w:val="28"/>
    </w:rPr>
  </w:style>
  <w:style w:type="paragraph" w:styleId="9">
    <w:name w:val="heading 5"/>
    <w:basedOn w:val="1"/>
    <w:next w:val="1"/>
    <w:link w:val="69"/>
    <w:qFormat/>
    <w:uiPriority w:val="99"/>
    <w:pPr>
      <w:keepNext/>
      <w:keepLines/>
      <w:adjustRightInd w:val="0"/>
      <w:spacing w:before="280" w:after="290" w:line="376" w:lineRule="atLeast"/>
      <w:textAlignment w:val="baseline"/>
      <w:outlineLvl w:val="4"/>
    </w:pPr>
    <w:rPr>
      <w:b/>
      <w:kern w:val="0"/>
      <w:sz w:val="28"/>
    </w:rPr>
  </w:style>
  <w:style w:type="paragraph" w:styleId="10">
    <w:name w:val="heading 6"/>
    <w:basedOn w:val="1"/>
    <w:next w:val="1"/>
    <w:link w:val="70"/>
    <w:qFormat/>
    <w:uiPriority w:val="99"/>
    <w:pPr>
      <w:keepNext/>
      <w:keepLines/>
      <w:adjustRightInd w:val="0"/>
      <w:spacing w:before="240" w:after="64" w:line="320" w:lineRule="atLeast"/>
      <w:textAlignment w:val="baseline"/>
      <w:outlineLvl w:val="5"/>
    </w:pPr>
    <w:rPr>
      <w:rFonts w:ascii="Arial" w:hAnsi="Arial" w:eastAsia="黑体"/>
      <w:b/>
      <w:kern w:val="0"/>
      <w:sz w:val="24"/>
    </w:rPr>
  </w:style>
  <w:style w:type="paragraph" w:styleId="11">
    <w:name w:val="heading 7"/>
    <w:basedOn w:val="1"/>
    <w:next w:val="1"/>
    <w:link w:val="71"/>
    <w:qFormat/>
    <w:uiPriority w:val="99"/>
    <w:pPr>
      <w:keepNext/>
      <w:keepLines/>
      <w:adjustRightInd w:val="0"/>
      <w:spacing w:before="240" w:after="64" w:line="320" w:lineRule="atLeast"/>
      <w:textAlignment w:val="baseline"/>
      <w:outlineLvl w:val="6"/>
    </w:pPr>
    <w:rPr>
      <w:b/>
      <w:kern w:val="0"/>
      <w:sz w:val="24"/>
    </w:rPr>
  </w:style>
  <w:style w:type="paragraph" w:styleId="12">
    <w:name w:val="heading 8"/>
    <w:basedOn w:val="1"/>
    <w:next w:val="1"/>
    <w:link w:val="72"/>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link w:val="73"/>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0"/>
    <w:qFormat/>
    <w:locked/>
    <w:uiPriority w:val="99"/>
    <w:pPr>
      <w:ind w:firstLine="420" w:firstLineChars="200"/>
    </w:pPr>
  </w:style>
  <w:style w:type="paragraph" w:styleId="3">
    <w:name w:val="Body Text Indent"/>
    <w:basedOn w:val="1"/>
    <w:next w:val="4"/>
    <w:link w:val="77"/>
    <w:qFormat/>
    <w:uiPriority w:val="99"/>
    <w:pPr>
      <w:spacing w:after="156"/>
      <w:ind w:firstLine="480"/>
    </w:pPr>
    <w:rPr>
      <w:sz w:val="24"/>
    </w:rPr>
  </w:style>
  <w:style w:type="paragraph" w:styleId="4">
    <w:name w:val="envelope return"/>
    <w:basedOn w:val="1"/>
    <w:qFormat/>
    <w:locked/>
    <w:uiPriority w:val="99"/>
    <w:pPr>
      <w:snapToGrid w:val="0"/>
    </w:pPr>
    <w:rPr>
      <w:rFonts w:ascii="Arial" w:hAnsi="Arial"/>
    </w:rPr>
  </w:style>
  <w:style w:type="paragraph" w:styleId="14">
    <w:name w:val="List 3"/>
    <w:basedOn w:val="1"/>
    <w:qFormat/>
    <w:uiPriority w:val="99"/>
    <w:pPr>
      <w:ind w:left="100" w:leftChars="400" w:hanging="200" w:hangingChars="200"/>
    </w:pPr>
  </w:style>
  <w:style w:type="paragraph" w:styleId="15">
    <w:name w:val="toc 7"/>
    <w:basedOn w:val="1"/>
    <w:next w:val="1"/>
    <w:semiHidden/>
    <w:qFormat/>
    <w:uiPriority w:val="99"/>
    <w:pPr>
      <w:ind w:left="1260"/>
      <w:jc w:val="left"/>
    </w:pPr>
    <w:rPr>
      <w:sz w:val="18"/>
    </w:rPr>
  </w:style>
  <w:style w:type="paragraph" w:styleId="16">
    <w:name w:val="Normal Indent"/>
    <w:basedOn w:val="1"/>
    <w:link w:val="101"/>
    <w:qFormat/>
    <w:uiPriority w:val="99"/>
    <w:pPr>
      <w:ind w:firstLine="420"/>
    </w:pPr>
  </w:style>
  <w:style w:type="paragraph" w:styleId="17">
    <w:name w:val="Document Map"/>
    <w:basedOn w:val="1"/>
    <w:link w:val="75"/>
    <w:semiHidden/>
    <w:qFormat/>
    <w:uiPriority w:val="99"/>
    <w:pPr>
      <w:shd w:val="clear" w:color="auto" w:fill="000080"/>
    </w:pPr>
  </w:style>
  <w:style w:type="paragraph" w:styleId="18">
    <w:name w:val="annotation text"/>
    <w:basedOn w:val="1"/>
    <w:link w:val="76"/>
    <w:semiHidden/>
    <w:qFormat/>
    <w:uiPriority w:val="99"/>
    <w:pPr>
      <w:jc w:val="left"/>
    </w:pPr>
  </w:style>
  <w:style w:type="paragraph" w:styleId="19">
    <w:name w:val="Body Text"/>
    <w:basedOn w:val="1"/>
    <w:next w:val="20"/>
    <w:link w:val="74"/>
    <w:qFormat/>
    <w:uiPriority w:val="99"/>
    <w:rPr>
      <w:sz w:val="24"/>
    </w:r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rPr>
  </w:style>
  <w:style w:type="paragraph" w:styleId="24">
    <w:name w:val="toc 5"/>
    <w:basedOn w:val="1"/>
    <w:next w:val="1"/>
    <w:semiHidden/>
    <w:qFormat/>
    <w:uiPriority w:val="99"/>
    <w:pPr>
      <w:ind w:left="840"/>
      <w:jc w:val="left"/>
    </w:pPr>
    <w:rPr>
      <w:sz w:val="18"/>
    </w:rPr>
  </w:style>
  <w:style w:type="paragraph" w:styleId="25">
    <w:name w:val="toc 3"/>
    <w:basedOn w:val="1"/>
    <w:next w:val="1"/>
    <w:semiHidden/>
    <w:qFormat/>
    <w:uiPriority w:val="99"/>
    <w:pPr>
      <w:ind w:left="420"/>
      <w:jc w:val="left"/>
    </w:pPr>
    <w:rPr>
      <w:i/>
      <w:sz w:val="20"/>
    </w:rPr>
  </w:style>
  <w:style w:type="paragraph" w:styleId="26">
    <w:name w:val="Plain Text"/>
    <w:basedOn w:val="1"/>
    <w:link w:val="78"/>
    <w:qFormat/>
    <w:uiPriority w:val="99"/>
    <w:rPr>
      <w:rFonts w:ascii="宋体" w:hAnsi="Courier New"/>
    </w:rPr>
  </w:style>
  <w:style w:type="paragraph" w:styleId="27">
    <w:name w:val="toc 8"/>
    <w:basedOn w:val="1"/>
    <w:next w:val="1"/>
    <w:semiHidden/>
    <w:qFormat/>
    <w:uiPriority w:val="99"/>
    <w:pPr>
      <w:ind w:left="1470"/>
      <w:jc w:val="left"/>
    </w:pPr>
    <w:rPr>
      <w:sz w:val="18"/>
    </w:rPr>
  </w:style>
  <w:style w:type="paragraph" w:styleId="28">
    <w:name w:val="Date"/>
    <w:basedOn w:val="1"/>
    <w:next w:val="1"/>
    <w:link w:val="79"/>
    <w:qFormat/>
    <w:uiPriority w:val="99"/>
    <w:pPr>
      <w:widowControl/>
      <w:ind w:left="100"/>
      <w:jc w:val="left"/>
    </w:pPr>
    <w:rPr>
      <w:rFonts w:ascii="宋体" w:hAnsi="宋体"/>
      <w:kern w:val="0"/>
      <w:sz w:val="28"/>
    </w:rPr>
  </w:style>
  <w:style w:type="paragraph" w:styleId="29">
    <w:name w:val="Body Text Indent 2"/>
    <w:basedOn w:val="1"/>
    <w:link w:val="80"/>
    <w:qFormat/>
    <w:uiPriority w:val="99"/>
    <w:pPr>
      <w:ind w:left="1436" w:leftChars="684"/>
    </w:pPr>
    <w:rPr>
      <w:sz w:val="24"/>
    </w:rPr>
  </w:style>
  <w:style w:type="paragraph" w:styleId="30">
    <w:name w:val="List Continue 5"/>
    <w:basedOn w:val="1"/>
    <w:qFormat/>
    <w:uiPriority w:val="99"/>
    <w:pPr>
      <w:spacing w:after="120"/>
      <w:ind w:left="2100" w:leftChars="1000"/>
    </w:pPr>
  </w:style>
  <w:style w:type="paragraph" w:styleId="31">
    <w:name w:val="Balloon Text"/>
    <w:basedOn w:val="1"/>
    <w:link w:val="81"/>
    <w:semiHidden/>
    <w:qFormat/>
    <w:uiPriority w:val="99"/>
    <w:rPr>
      <w:sz w:val="18"/>
    </w:rPr>
  </w:style>
  <w:style w:type="paragraph" w:styleId="32">
    <w:name w:val="footer"/>
    <w:basedOn w:val="1"/>
    <w:link w:val="82"/>
    <w:qFormat/>
    <w:uiPriority w:val="99"/>
    <w:pPr>
      <w:tabs>
        <w:tab w:val="center" w:pos="4153"/>
        <w:tab w:val="right" w:pos="8306"/>
      </w:tabs>
      <w:snapToGrid w:val="0"/>
      <w:jc w:val="left"/>
    </w:pPr>
    <w:rPr>
      <w:sz w:val="18"/>
    </w:rPr>
  </w:style>
  <w:style w:type="paragraph" w:styleId="33">
    <w:name w:val="header"/>
    <w:basedOn w:val="1"/>
    <w:link w:val="83"/>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aps/>
      <w:w w:val="80"/>
      <w:sz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rPr>
  </w:style>
  <w:style w:type="paragraph" w:styleId="37">
    <w:name w:val="List"/>
    <w:basedOn w:val="1"/>
    <w:qFormat/>
    <w:uiPriority w:val="99"/>
    <w:pPr>
      <w:ind w:left="200" w:hanging="200" w:hangingChars="200"/>
    </w:pPr>
  </w:style>
  <w:style w:type="paragraph" w:styleId="38">
    <w:name w:val="footnote text"/>
    <w:basedOn w:val="1"/>
    <w:link w:val="84"/>
    <w:semiHidden/>
    <w:qFormat/>
    <w:uiPriority w:val="99"/>
    <w:pPr>
      <w:snapToGrid w:val="0"/>
      <w:jc w:val="left"/>
    </w:pPr>
    <w:rPr>
      <w:sz w:val="18"/>
    </w:rPr>
  </w:style>
  <w:style w:type="paragraph" w:styleId="39">
    <w:name w:val="toc 6"/>
    <w:basedOn w:val="1"/>
    <w:next w:val="1"/>
    <w:semiHidden/>
    <w:qFormat/>
    <w:uiPriority w:val="99"/>
    <w:pPr>
      <w:ind w:left="1050"/>
      <w:jc w:val="left"/>
    </w:pPr>
    <w:rPr>
      <w:sz w:val="18"/>
    </w:rPr>
  </w:style>
  <w:style w:type="paragraph" w:styleId="40">
    <w:name w:val="List 5"/>
    <w:basedOn w:val="1"/>
    <w:qFormat/>
    <w:uiPriority w:val="99"/>
    <w:pPr>
      <w:ind w:left="100" w:leftChars="800" w:hanging="200" w:hangingChars="200"/>
    </w:pPr>
  </w:style>
  <w:style w:type="paragraph" w:styleId="41">
    <w:name w:val="Body Text Indent 3"/>
    <w:basedOn w:val="1"/>
    <w:link w:val="85"/>
    <w:qFormat/>
    <w:uiPriority w:val="99"/>
    <w:pPr>
      <w:spacing w:after="120"/>
      <w:ind w:left="420" w:leftChars="200"/>
    </w:pPr>
    <w:rPr>
      <w:sz w:val="16"/>
    </w:rPr>
  </w:style>
  <w:style w:type="paragraph" w:styleId="42">
    <w:name w:val="toc 2"/>
    <w:basedOn w:val="1"/>
    <w:next w:val="1"/>
    <w:semiHidden/>
    <w:qFormat/>
    <w:uiPriority w:val="99"/>
    <w:pPr>
      <w:ind w:left="210"/>
      <w:jc w:val="left"/>
    </w:pPr>
    <w:rPr>
      <w:smallCaps/>
      <w:sz w:val="20"/>
    </w:rPr>
  </w:style>
  <w:style w:type="paragraph" w:styleId="43">
    <w:name w:val="toc 9"/>
    <w:basedOn w:val="1"/>
    <w:next w:val="1"/>
    <w:semiHidden/>
    <w:qFormat/>
    <w:uiPriority w:val="99"/>
    <w:pPr>
      <w:ind w:left="1680"/>
      <w:jc w:val="left"/>
    </w:pPr>
    <w:rPr>
      <w:sz w:val="18"/>
    </w:rPr>
  </w:style>
  <w:style w:type="paragraph" w:styleId="44">
    <w:name w:val="Body Text 2"/>
    <w:basedOn w:val="1"/>
    <w:link w:val="86"/>
    <w:qFormat/>
    <w:uiPriority w:val="99"/>
    <w:rPr>
      <w:rFonts w:ascii="宋体" w:hAnsi="宋体"/>
      <w:sz w:val="24"/>
    </w:rPr>
  </w:style>
  <w:style w:type="paragraph" w:styleId="45">
    <w:name w:val="List 4"/>
    <w:basedOn w:val="1"/>
    <w:qFormat/>
    <w:uiPriority w:val="99"/>
    <w:pPr>
      <w:ind w:left="100" w:leftChars="600" w:hanging="200" w:hangingChars="200"/>
    </w:pPr>
  </w:style>
  <w:style w:type="paragraph" w:styleId="46">
    <w:name w:val="List Continue 2"/>
    <w:basedOn w:val="1"/>
    <w:qFormat/>
    <w:uiPriority w:val="99"/>
    <w:pPr>
      <w:spacing w:after="120"/>
      <w:ind w:left="840" w:leftChars="400"/>
    </w:pPr>
  </w:style>
  <w:style w:type="paragraph" w:styleId="47">
    <w:name w:val="HTML Preformatted"/>
    <w:basedOn w:val="1"/>
    <w:link w:val="87"/>
    <w:qFormat/>
    <w:uiPriority w:val="99"/>
    <w:rPr>
      <w:rFonts w:ascii="Courier New" w:hAnsi="Courier New"/>
      <w:sz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List Continue 3"/>
    <w:basedOn w:val="1"/>
    <w:qFormat/>
    <w:uiPriority w:val="99"/>
    <w:pPr>
      <w:spacing w:after="120"/>
      <w:ind w:left="1260" w:leftChars="600"/>
    </w:pPr>
  </w:style>
  <w:style w:type="paragraph" w:styleId="50">
    <w:name w:val="annotation subject"/>
    <w:basedOn w:val="18"/>
    <w:next w:val="18"/>
    <w:link w:val="88"/>
    <w:semiHidden/>
    <w:qFormat/>
    <w:uiPriority w:val="99"/>
    <w:rPr>
      <w:b/>
    </w:rPr>
  </w:style>
  <w:style w:type="paragraph" w:styleId="51">
    <w:name w:val="Body Text First Indent"/>
    <w:basedOn w:val="1"/>
    <w:link w:val="89"/>
    <w:qFormat/>
    <w:uiPriority w:val="99"/>
    <w:pPr>
      <w:spacing w:line="360" w:lineRule="auto"/>
      <w:ind w:firstLine="482"/>
    </w:pPr>
    <w:rPr>
      <w:b/>
      <w:sz w:val="24"/>
    </w:rPr>
  </w:style>
  <w:style w:type="table" w:styleId="53">
    <w:name w:val="Table Grid"/>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locked/>
    <w:uiPriority w:val="99"/>
    <w:rPr>
      <w:rFonts w:cs="Times New Roman"/>
      <w:b/>
    </w:rPr>
  </w:style>
  <w:style w:type="character" w:styleId="56">
    <w:name w:val="page number"/>
    <w:basedOn w:val="54"/>
    <w:qFormat/>
    <w:uiPriority w:val="99"/>
    <w:rPr>
      <w:rFonts w:cs="Times New Roman"/>
    </w:rPr>
  </w:style>
  <w:style w:type="character" w:styleId="57">
    <w:name w:val="FollowedHyperlink"/>
    <w:basedOn w:val="54"/>
    <w:qFormat/>
    <w:locked/>
    <w:uiPriority w:val="99"/>
    <w:rPr>
      <w:rFonts w:cs="Times New Roman"/>
      <w:color w:val="800080"/>
      <w:u w:val="single"/>
    </w:rPr>
  </w:style>
  <w:style w:type="character" w:styleId="58">
    <w:name w:val="Emphasis"/>
    <w:basedOn w:val="54"/>
    <w:qFormat/>
    <w:locked/>
    <w:uiPriority w:val="99"/>
    <w:rPr>
      <w:rFonts w:cs="Times New Roman"/>
      <w:color w:val="CC0000"/>
    </w:rPr>
  </w:style>
  <w:style w:type="character" w:styleId="59">
    <w:name w:val="Hyperlink"/>
    <w:basedOn w:val="54"/>
    <w:qFormat/>
    <w:uiPriority w:val="99"/>
    <w:rPr>
      <w:rFonts w:cs="Times New Roman"/>
      <w:color w:val="0000FF"/>
      <w:u w:val="single"/>
    </w:rPr>
  </w:style>
  <w:style w:type="character" w:styleId="60">
    <w:name w:val="annotation reference"/>
    <w:basedOn w:val="54"/>
    <w:semiHidden/>
    <w:qFormat/>
    <w:uiPriority w:val="99"/>
    <w:rPr>
      <w:rFonts w:cs="Times New Roman"/>
      <w:sz w:val="21"/>
    </w:rPr>
  </w:style>
  <w:style w:type="character" w:styleId="61">
    <w:name w:val="HTML Cite"/>
    <w:basedOn w:val="54"/>
    <w:qFormat/>
    <w:locked/>
    <w:uiPriority w:val="99"/>
    <w:rPr>
      <w:rFonts w:cs="Times New Roman"/>
      <w:color w:val="008000"/>
    </w:rPr>
  </w:style>
  <w:style w:type="character" w:styleId="62">
    <w:name w:val="footnote reference"/>
    <w:basedOn w:val="54"/>
    <w:semiHidden/>
    <w:qFormat/>
    <w:uiPriority w:val="99"/>
    <w:rPr>
      <w:rFonts w:cs="Times New Roman"/>
      <w:vertAlign w:val="superscript"/>
    </w:rPr>
  </w:style>
  <w:style w:type="paragraph" w:customStyle="1" w:styleId="63">
    <w:name w:val="正文1"/>
    <w:basedOn w:val="1"/>
    <w:qFormat/>
    <w:uiPriority w:val="0"/>
    <w:pPr>
      <w:spacing w:line="360" w:lineRule="auto"/>
      <w:ind w:firstLine="361"/>
    </w:pPr>
    <w:rPr>
      <w:rFonts w:ascii="宋体" w:hAnsi="宋体"/>
      <w:szCs w:val="24"/>
    </w:rPr>
  </w:style>
  <w:style w:type="paragraph" w:customStyle="1" w:styleId="64">
    <w:name w:val="正文首行缩进 21"/>
    <w:basedOn w:val="3"/>
    <w:unhideWhenUsed/>
    <w:qFormat/>
    <w:uiPriority w:val="99"/>
    <w:pPr>
      <w:ind w:firstLine="200" w:firstLineChars="200"/>
    </w:pPr>
  </w:style>
  <w:style w:type="character" w:customStyle="1" w:styleId="65">
    <w:name w:val="标题 1 Char"/>
    <w:basedOn w:val="54"/>
    <w:link w:val="5"/>
    <w:qFormat/>
    <w:locked/>
    <w:uiPriority w:val="99"/>
    <w:rPr>
      <w:b/>
      <w:kern w:val="44"/>
      <w:sz w:val="44"/>
    </w:rPr>
  </w:style>
  <w:style w:type="character" w:customStyle="1" w:styleId="66">
    <w:name w:val="标题 2 Char"/>
    <w:basedOn w:val="54"/>
    <w:link w:val="6"/>
    <w:qFormat/>
    <w:locked/>
    <w:uiPriority w:val="99"/>
    <w:rPr>
      <w:rFonts w:ascii="Arial" w:hAnsi="Arial" w:eastAsia="黑体"/>
      <w:b/>
      <w:sz w:val="32"/>
    </w:rPr>
  </w:style>
  <w:style w:type="character" w:customStyle="1" w:styleId="67">
    <w:name w:val="标题 3 Char"/>
    <w:basedOn w:val="54"/>
    <w:link w:val="7"/>
    <w:semiHidden/>
    <w:qFormat/>
    <w:uiPriority w:val="9"/>
    <w:rPr>
      <w:b/>
      <w:bCs/>
      <w:sz w:val="32"/>
      <w:szCs w:val="32"/>
    </w:rPr>
  </w:style>
  <w:style w:type="character" w:customStyle="1" w:styleId="68">
    <w:name w:val="标题 4 Char"/>
    <w:basedOn w:val="54"/>
    <w:link w:val="8"/>
    <w:qFormat/>
    <w:locked/>
    <w:uiPriority w:val="99"/>
    <w:rPr>
      <w:rFonts w:ascii="Arial" w:hAnsi="Arial" w:eastAsia="黑体"/>
      <w:b/>
      <w:kern w:val="2"/>
      <w:sz w:val="28"/>
      <w:lang w:val="en-US" w:eastAsia="zh-CN"/>
    </w:rPr>
  </w:style>
  <w:style w:type="character" w:customStyle="1" w:styleId="69">
    <w:name w:val="标题 5 Char"/>
    <w:basedOn w:val="54"/>
    <w:link w:val="9"/>
    <w:semiHidden/>
    <w:qFormat/>
    <w:uiPriority w:val="9"/>
    <w:rPr>
      <w:b/>
      <w:bCs/>
      <w:sz w:val="28"/>
      <w:szCs w:val="28"/>
    </w:rPr>
  </w:style>
  <w:style w:type="character" w:customStyle="1" w:styleId="70">
    <w:name w:val="标题 6 Char"/>
    <w:basedOn w:val="54"/>
    <w:link w:val="10"/>
    <w:semiHidden/>
    <w:qFormat/>
    <w:uiPriority w:val="9"/>
    <w:rPr>
      <w:rFonts w:ascii="Cambria" w:hAnsi="Cambria" w:eastAsia="宋体" w:cs="Times New Roman"/>
      <w:b/>
      <w:bCs/>
      <w:sz w:val="24"/>
      <w:szCs w:val="24"/>
    </w:rPr>
  </w:style>
  <w:style w:type="character" w:customStyle="1" w:styleId="71">
    <w:name w:val="标题 7 Char"/>
    <w:basedOn w:val="54"/>
    <w:link w:val="11"/>
    <w:semiHidden/>
    <w:qFormat/>
    <w:uiPriority w:val="9"/>
    <w:rPr>
      <w:b/>
      <w:bCs/>
      <w:sz w:val="24"/>
      <w:szCs w:val="24"/>
    </w:rPr>
  </w:style>
  <w:style w:type="character" w:customStyle="1" w:styleId="72">
    <w:name w:val="标题 8 Char"/>
    <w:basedOn w:val="54"/>
    <w:link w:val="12"/>
    <w:semiHidden/>
    <w:qFormat/>
    <w:uiPriority w:val="9"/>
    <w:rPr>
      <w:rFonts w:ascii="Cambria" w:hAnsi="Cambria" w:eastAsia="宋体" w:cs="Times New Roman"/>
      <w:sz w:val="24"/>
      <w:szCs w:val="24"/>
    </w:rPr>
  </w:style>
  <w:style w:type="character" w:customStyle="1" w:styleId="73">
    <w:name w:val="标题 9 Char"/>
    <w:basedOn w:val="54"/>
    <w:link w:val="13"/>
    <w:semiHidden/>
    <w:qFormat/>
    <w:uiPriority w:val="9"/>
    <w:rPr>
      <w:rFonts w:ascii="Cambria" w:hAnsi="Cambria" w:eastAsia="宋体" w:cs="Times New Roman"/>
      <w:szCs w:val="21"/>
    </w:rPr>
  </w:style>
  <w:style w:type="character" w:customStyle="1" w:styleId="74">
    <w:name w:val="正文文本 Char"/>
    <w:basedOn w:val="54"/>
    <w:link w:val="19"/>
    <w:semiHidden/>
    <w:qFormat/>
    <w:uiPriority w:val="99"/>
    <w:rPr>
      <w:szCs w:val="20"/>
    </w:rPr>
  </w:style>
  <w:style w:type="character" w:customStyle="1" w:styleId="75">
    <w:name w:val="文档结构图 Char"/>
    <w:basedOn w:val="54"/>
    <w:link w:val="17"/>
    <w:semiHidden/>
    <w:qFormat/>
    <w:uiPriority w:val="99"/>
    <w:rPr>
      <w:sz w:val="0"/>
      <w:szCs w:val="0"/>
    </w:rPr>
  </w:style>
  <w:style w:type="character" w:customStyle="1" w:styleId="76">
    <w:name w:val="批注文字 Char"/>
    <w:basedOn w:val="54"/>
    <w:link w:val="18"/>
    <w:qFormat/>
    <w:locked/>
    <w:uiPriority w:val="99"/>
    <w:rPr>
      <w:kern w:val="2"/>
      <w:sz w:val="21"/>
    </w:rPr>
  </w:style>
  <w:style w:type="character" w:customStyle="1" w:styleId="77">
    <w:name w:val="正文文本缩进 Char"/>
    <w:basedOn w:val="54"/>
    <w:link w:val="3"/>
    <w:qFormat/>
    <w:locked/>
    <w:uiPriority w:val="99"/>
    <w:rPr>
      <w:kern w:val="2"/>
      <w:sz w:val="24"/>
    </w:rPr>
  </w:style>
  <w:style w:type="character" w:customStyle="1" w:styleId="78">
    <w:name w:val="纯文本 Char"/>
    <w:basedOn w:val="54"/>
    <w:link w:val="26"/>
    <w:semiHidden/>
    <w:qFormat/>
    <w:uiPriority w:val="99"/>
    <w:rPr>
      <w:rFonts w:ascii="宋体" w:hAnsi="Courier New" w:cs="Courier New"/>
      <w:szCs w:val="21"/>
    </w:rPr>
  </w:style>
  <w:style w:type="character" w:customStyle="1" w:styleId="79">
    <w:name w:val="日期 Char"/>
    <w:basedOn w:val="54"/>
    <w:link w:val="28"/>
    <w:semiHidden/>
    <w:qFormat/>
    <w:uiPriority w:val="99"/>
    <w:rPr>
      <w:szCs w:val="20"/>
    </w:rPr>
  </w:style>
  <w:style w:type="character" w:customStyle="1" w:styleId="80">
    <w:name w:val="正文文本缩进 2 Char"/>
    <w:basedOn w:val="54"/>
    <w:link w:val="29"/>
    <w:semiHidden/>
    <w:qFormat/>
    <w:uiPriority w:val="99"/>
    <w:rPr>
      <w:szCs w:val="20"/>
    </w:rPr>
  </w:style>
  <w:style w:type="character" w:customStyle="1" w:styleId="81">
    <w:name w:val="批注框文本 Char"/>
    <w:basedOn w:val="54"/>
    <w:link w:val="31"/>
    <w:qFormat/>
    <w:locked/>
    <w:uiPriority w:val="99"/>
    <w:rPr>
      <w:rFonts w:eastAsia="宋体"/>
      <w:kern w:val="2"/>
      <w:sz w:val="18"/>
      <w:lang w:val="en-US" w:eastAsia="zh-CN"/>
    </w:rPr>
  </w:style>
  <w:style w:type="character" w:customStyle="1" w:styleId="82">
    <w:name w:val="页脚 Char"/>
    <w:basedOn w:val="54"/>
    <w:link w:val="32"/>
    <w:qFormat/>
    <w:locked/>
    <w:uiPriority w:val="99"/>
    <w:rPr>
      <w:kern w:val="2"/>
      <w:sz w:val="18"/>
    </w:rPr>
  </w:style>
  <w:style w:type="character" w:customStyle="1" w:styleId="83">
    <w:name w:val="页眉 Char"/>
    <w:basedOn w:val="54"/>
    <w:link w:val="33"/>
    <w:semiHidden/>
    <w:qFormat/>
    <w:uiPriority w:val="99"/>
    <w:rPr>
      <w:sz w:val="18"/>
      <w:szCs w:val="18"/>
    </w:rPr>
  </w:style>
  <w:style w:type="character" w:customStyle="1" w:styleId="84">
    <w:name w:val="脚注文本 Char"/>
    <w:basedOn w:val="54"/>
    <w:link w:val="38"/>
    <w:semiHidden/>
    <w:qFormat/>
    <w:uiPriority w:val="99"/>
    <w:rPr>
      <w:sz w:val="18"/>
      <w:szCs w:val="18"/>
    </w:rPr>
  </w:style>
  <w:style w:type="character" w:customStyle="1" w:styleId="85">
    <w:name w:val="正文文本缩进 3 Char"/>
    <w:basedOn w:val="54"/>
    <w:link w:val="41"/>
    <w:semiHidden/>
    <w:qFormat/>
    <w:uiPriority w:val="99"/>
    <w:rPr>
      <w:sz w:val="16"/>
      <w:szCs w:val="16"/>
    </w:rPr>
  </w:style>
  <w:style w:type="character" w:customStyle="1" w:styleId="86">
    <w:name w:val="正文文本 2 Char"/>
    <w:basedOn w:val="54"/>
    <w:link w:val="44"/>
    <w:semiHidden/>
    <w:qFormat/>
    <w:uiPriority w:val="99"/>
    <w:rPr>
      <w:szCs w:val="20"/>
    </w:rPr>
  </w:style>
  <w:style w:type="character" w:customStyle="1" w:styleId="87">
    <w:name w:val="HTML 预设格式 Char"/>
    <w:basedOn w:val="54"/>
    <w:link w:val="47"/>
    <w:qFormat/>
    <w:locked/>
    <w:uiPriority w:val="99"/>
    <w:rPr>
      <w:rFonts w:ascii="Courier New" w:hAnsi="Courier New"/>
      <w:kern w:val="2"/>
    </w:rPr>
  </w:style>
  <w:style w:type="character" w:customStyle="1" w:styleId="88">
    <w:name w:val="批注主题 Char"/>
    <w:basedOn w:val="76"/>
    <w:link w:val="50"/>
    <w:semiHidden/>
    <w:qFormat/>
    <w:uiPriority w:val="99"/>
    <w:rPr>
      <w:b/>
      <w:bCs/>
      <w:szCs w:val="20"/>
    </w:rPr>
  </w:style>
  <w:style w:type="character" w:customStyle="1" w:styleId="89">
    <w:name w:val="正文首行缩进 Char"/>
    <w:basedOn w:val="74"/>
    <w:link w:val="51"/>
    <w:semiHidden/>
    <w:qFormat/>
    <w:uiPriority w:val="99"/>
  </w:style>
  <w:style w:type="character" w:customStyle="1" w:styleId="90">
    <w:name w:val="正文首行缩进 2 Char"/>
    <w:basedOn w:val="77"/>
    <w:link w:val="2"/>
    <w:semiHidden/>
    <w:qFormat/>
    <w:uiPriority w:val="99"/>
    <w:rPr>
      <w:szCs w:val="20"/>
    </w:rPr>
  </w:style>
  <w:style w:type="character" w:customStyle="1" w:styleId="91">
    <w:name w:val="Style Heading 3 + Char"/>
    <w:link w:val="92"/>
    <w:qFormat/>
    <w:locked/>
    <w:uiPriority w:val="99"/>
    <w:rPr>
      <w:rFonts w:eastAsia="宋体"/>
      <w:b/>
      <w:kern w:val="2"/>
      <w:sz w:val="28"/>
      <w:lang w:val="en-US" w:eastAsia="zh-CN"/>
    </w:rPr>
  </w:style>
  <w:style w:type="paragraph" w:customStyle="1" w:styleId="92">
    <w:name w:val="Style Heading 3 +"/>
    <w:basedOn w:val="7"/>
    <w:link w:val="91"/>
    <w:qFormat/>
    <w:uiPriority w:val="99"/>
    <w:pPr>
      <w:adjustRightInd/>
      <w:spacing w:before="120" w:after="120" w:line="120" w:lineRule="atLeast"/>
      <w:textAlignment w:val="auto"/>
    </w:pPr>
    <w:rPr>
      <w:kern w:val="2"/>
      <w:sz w:val="28"/>
    </w:rPr>
  </w:style>
  <w:style w:type="character" w:customStyle="1" w:styleId="93">
    <w:name w:val="font01"/>
    <w:qFormat/>
    <w:uiPriority w:val="99"/>
    <w:rPr>
      <w:rFonts w:ascii="宋体" w:hAnsi="宋体" w:eastAsia="宋体"/>
      <w:color w:val="000000"/>
      <w:sz w:val="20"/>
      <w:u w:val="none"/>
    </w:rPr>
  </w:style>
  <w:style w:type="character" w:customStyle="1" w:styleId="94">
    <w:name w:val="hover23"/>
    <w:qFormat/>
    <w:uiPriority w:val="99"/>
    <w:rPr>
      <w:color w:val="315EFB"/>
    </w:rPr>
  </w:style>
  <w:style w:type="character" w:customStyle="1" w:styleId="95">
    <w:name w:val="style1"/>
    <w:qFormat/>
    <w:uiPriority w:val="99"/>
  </w:style>
  <w:style w:type="character" w:customStyle="1" w:styleId="96">
    <w:name w:val="正文缩进2格 Char Char"/>
    <w:link w:val="97"/>
    <w:qFormat/>
    <w:locked/>
    <w:uiPriority w:val="99"/>
    <w:rPr>
      <w:rFonts w:ascii="仿宋_GB2312" w:hAnsi="宋体" w:eastAsia="仿宋_GB2312"/>
      <w:kern w:val="2"/>
      <w:sz w:val="28"/>
    </w:rPr>
  </w:style>
  <w:style w:type="paragraph" w:customStyle="1" w:styleId="97">
    <w:name w:val="正文缩进2格"/>
    <w:basedOn w:val="1"/>
    <w:link w:val="96"/>
    <w:qFormat/>
    <w:uiPriority w:val="99"/>
    <w:pPr>
      <w:spacing w:line="600" w:lineRule="exact"/>
      <w:ind w:firstLine="639" w:firstLineChars="206"/>
    </w:pPr>
    <w:rPr>
      <w:rFonts w:ascii="仿宋_GB2312" w:hAnsi="宋体" w:eastAsia="仿宋_GB2312"/>
      <w:sz w:val="28"/>
    </w:rPr>
  </w:style>
  <w:style w:type="character" w:customStyle="1" w:styleId="98">
    <w:name w:val="hover22"/>
    <w:basedOn w:val="54"/>
    <w:qFormat/>
    <w:uiPriority w:val="99"/>
    <w:rPr>
      <w:rFonts w:cs="Times New Roman"/>
    </w:rPr>
  </w:style>
  <w:style w:type="character" w:customStyle="1" w:styleId="99">
    <w:name w:val="c-icon27"/>
    <w:basedOn w:val="54"/>
    <w:qFormat/>
    <w:uiPriority w:val="99"/>
    <w:rPr>
      <w:rFonts w:cs="Times New Roman"/>
    </w:rPr>
  </w:style>
  <w:style w:type="character" w:customStyle="1" w:styleId="100">
    <w:name w:val="c-icon28"/>
    <w:basedOn w:val="54"/>
    <w:qFormat/>
    <w:uiPriority w:val="99"/>
    <w:rPr>
      <w:rFonts w:cs="Times New Roman"/>
    </w:rPr>
  </w:style>
  <w:style w:type="character" w:customStyle="1" w:styleId="101">
    <w:name w:val="正文缩进 Char"/>
    <w:link w:val="16"/>
    <w:qFormat/>
    <w:locked/>
    <w:uiPriority w:val="99"/>
    <w:rPr>
      <w:kern w:val="2"/>
      <w:sz w:val="21"/>
    </w:rPr>
  </w:style>
  <w:style w:type="character" w:customStyle="1" w:styleId="102">
    <w:name w:val="标题 1 Char Char"/>
    <w:qFormat/>
    <w:uiPriority w:val="99"/>
    <w:rPr>
      <w:rFonts w:ascii="宋体" w:hAnsi="宋体" w:eastAsia="宋体"/>
      <w:b/>
      <w:spacing w:val="-2"/>
      <w:sz w:val="24"/>
      <w:lang w:val="en-US" w:eastAsia="zh-CN"/>
    </w:rPr>
  </w:style>
  <w:style w:type="paragraph" w:customStyle="1" w:styleId="103">
    <w:name w:val="文档正文"/>
    <w:basedOn w:val="1"/>
    <w:qFormat/>
    <w:uiPriority w:val="99"/>
    <w:pPr>
      <w:adjustRightInd w:val="0"/>
      <w:spacing w:line="480" w:lineRule="atLeast"/>
      <w:ind w:firstLine="567"/>
      <w:textAlignment w:val="baseline"/>
    </w:pPr>
    <w:rPr>
      <w:rFonts w:ascii="仿宋_GB2312" w:eastAsia="仿宋_GB2312"/>
      <w:kern w:val="0"/>
      <w:sz w:val="28"/>
    </w:rPr>
  </w:style>
  <w:style w:type="paragraph" w:customStyle="1" w:styleId="104">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5">
    <w:name w:val="样式 标题 2 + 黑色 行距: 1.5 倍行距"/>
    <w:basedOn w:val="6"/>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06">
    <w:name w:val="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图文"/>
    <w:basedOn w:val="1"/>
    <w:qFormat/>
    <w:uiPriority w:val="99"/>
    <w:pPr>
      <w:adjustRightInd w:val="0"/>
      <w:snapToGrid w:val="0"/>
      <w:spacing w:after="50" w:line="360" w:lineRule="auto"/>
    </w:pPr>
    <w:rPr>
      <w:sz w:val="24"/>
    </w:rPr>
  </w:style>
  <w:style w:type="paragraph" w:customStyle="1" w:styleId="108">
    <w:name w:val="Char Char Char1 Char"/>
    <w:basedOn w:val="1"/>
    <w:qFormat/>
    <w:uiPriority w:val="99"/>
  </w:style>
  <w:style w:type="paragraph" w:customStyle="1" w:styleId="109">
    <w:name w:val="p0"/>
    <w:basedOn w:val="1"/>
    <w:qFormat/>
    <w:uiPriority w:val="99"/>
    <w:pPr>
      <w:widowControl/>
    </w:pPr>
    <w:rPr>
      <w:kern w:val="0"/>
      <w:szCs w:val="21"/>
    </w:rPr>
  </w:style>
  <w:style w:type="paragraph" w:customStyle="1" w:styleId="110">
    <w:name w:val="_Style 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2">
    <w:name w:val="列出段落1"/>
    <w:basedOn w:val="1"/>
    <w:qFormat/>
    <w:uiPriority w:val="99"/>
    <w:pPr>
      <w:ind w:firstLine="420" w:firstLineChars="200"/>
    </w:pPr>
  </w:style>
  <w:style w:type="paragraph" w:customStyle="1" w:styleId="113">
    <w:name w:val="简单回函地址"/>
    <w:basedOn w:val="1"/>
    <w:qFormat/>
    <w:uiPriority w:val="99"/>
  </w:style>
  <w:style w:type="paragraph" w:customStyle="1" w:styleId="114">
    <w:name w:val="纯文本2"/>
    <w:basedOn w:val="1"/>
    <w:qFormat/>
    <w:uiPriority w:val="99"/>
    <w:rPr>
      <w:rFonts w:ascii="宋体" w:hAnsi="Courier New"/>
      <w:sz w:val="28"/>
      <w:szCs w:val="24"/>
    </w:rPr>
  </w:style>
  <w:style w:type="paragraph" w:customStyle="1" w:styleId="115">
    <w:name w:val="1"/>
    <w:basedOn w:val="1"/>
    <w:next w:val="26"/>
    <w:qFormat/>
    <w:uiPriority w:val="99"/>
    <w:rPr>
      <w:rFonts w:ascii="宋体" w:hAnsi="Courier New"/>
    </w:rPr>
  </w:style>
  <w:style w:type="paragraph" w:customStyle="1" w:styleId="116">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7">
    <w:name w:val="默认段落字体 Para Char Char Char Char"/>
    <w:basedOn w:val="1"/>
    <w:qFormat/>
    <w:uiPriority w:val="99"/>
  </w:style>
  <w:style w:type="paragraph" w:styleId="118">
    <w:name w:val="No Spacing"/>
    <w:basedOn w:val="1"/>
    <w:qFormat/>
    <w:uiPriority w:val="1"/>
    <w:rPr>
      <w:rFonts w:ascii="Calibri" w:hAnsi="Calibri"/>
      <w:kern w:val="0"/>
      <w:sz w:val="20"/>
    </w:rPr>
  </w:style>
  <w:style w:type="paragraph" w:customStyle="1" w:styleId="1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20">
    <w:name w:val="List Paragraph"/>
    <w:basedOn w:val="1"/>
    <w:qFormat/>
    <w:uiPriority w:val="34"/>
    <w:pPr>
      <w:ind w:firstLine="420" w:firstLineChars="200"/>
    </w:pPr>
    <w:rPr>
      <w:rFonts w:ascii="Calibri" w:hAnsi="Calibri" w:eastAsia="宋体" w:cs="Times New Roman"/>
      <w:szCs w:val="22"/>
    </w:rPr>
  </w:style>
  <w:style w:type="paragraph" w:customStyle="1" w:styleId="12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22">
    <w:name w:val="样式 小四 加粗"/>
    <w:basedOn w:val="54"/>
    <w:qFormat/>
    <w:uiPriority w:val="0"/>
    <w:rPr>
      <w:rFonts w:eastAsia="黑体"/>
      <w:b/>
      <w:bCs/>
      <w:sz w:val="24"/>
    </w:rPr>
  </w:style>
  <w:style w:type="character" w:customStyle="1" w:styleId="123">
    <w:name w:val="hover"/>
    <w:basedOn w:val="54"/>
    <w:uiPriority w:val="0"/>
  </w:style>
  <w:style w:type="character" w:customStyle="1" w:styleId="124">
    <w:name w:val="hover1"/>
    <w:basedOn w:val="54"/>
    <w:qFormat/>
    <w:uiPriority w:val="0"/>
    <w:rPr>
      <w:color w:val="315EFB"/>
    </w:rPr>
  </w:style>
  <w:style w:type="character" w:customStyle="1" w:styleId="125">
    <w:name w:val="c-icon30"/>
    <w:basedOn w:val="5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yr</Company>
  <Pages>38</Pages>
  <Words>3347</Words>
  <Characters>19082</Characters>
  <Lines>159</Lines>
  <Paragraphs>44</Paragraphs>
  <TotalTime>1</TotalTime>
  <ScaleCrop>false</ScaleCrop>
  <LinksUpToDate>false</LinksUpToDate>
  <CharactersWithSpaces>22385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2021-01-07T07:39:00Z</dcterms:created>
  <dc:creator>dreamsummit</dc:creator>
  <cp:lastModifiedBy>li</cp:lastModifiedBy>
  <cp:lastPrinted>2020-08-18T08:14:00Z</cp:lastPrinted>
  <dcterms:modified xsi:type="dcterms:W3CDTF">2021-11-04T12:53:30Z</dcterms:modified>
  <dc:title>南京国衡南通分公司 代理 招标及竞谈 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D6D3A7FECB5B4CB584A05DA0CF3CBF5F</vt:lpwstr>
  </property>
</Properties>
</file>