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南通市第三人民医院内部控制体系建设服务项目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2022年1</w:t>
      </w:r>
      <w:r>
        <w:rPr>
          <w:rFonts w:hint="eastAsia" w:ascii="Times New Roman" w:hAnsi="Times New Roman" w:eastAsia="宋体" w:cs="宋体"/>
          <w:b/>
          <w:sz w:val="30"/>
          <w:szCs w:val="30"/>
          <w:lang w:val="en-US" w:eastAsia="zh-CN"/>
        </w:rPr>
        <w:t>1</w:t>
      </w:r>
      <w:r>
        <w:rPr>
          <w:rFonts w:hint="eastAsia" w:ascii="Times New Roman" w:hAnsi="Times New Roman" w:eastAsia="宋体" w:cs="宋体"/>
          <w:b/>
          <w:sz w:val="30"/>
          <w:szCs w:val="30"/>
        </w:rPr>
        <w:t>月1</w:t>
      </w:r>
      <w:r>
        <w:rPr>
          <w:rFonts w:hint="eastAsia" w:ascii="Times New Roman" w:hAnsi="Times New Roman" w:eastAsia="宋体" w:cs="宋体"/>
          <w:b/>
          <w:sz w:val="30"/>
          <w:szCs w:val="30"/>
          <w:lang w:val="en-US" w:eastAsia="zh-CN"/>
        </w:rPr>
        <w:t>4</w:t>
      </w:r>
      <w:r>
        <w:rPr>
          <w:rFonts w:hint="eastAsia" w:ascii="Times New Roman" w:hAnsi="Times New Roman" w:eastAsia="宋体" w:cs="宋体"/>
          <w:b/>
          <w:sz w:val="30"/>
          <w:szCs w:val="30"/>
        </w:rPr>
        <w:t>日</w:t>
      </w:r>
    </w:p>
    <w:p>
      <w:pPr>
        <w:pStyle w:val="2"/>
        <w:rPr>
          <w:rFonts w:ascii="Times New Roman" w:hAnsi="Times New Roman" w:eastAsia="宋体"/>
        </w:rPr>
      </w:pPr>
      <w:r>
        <w:rPr>
          <w:rFonts w:ascii="Times New Roman" w:hAnsi="Times New Roman" w:eastAsia="宋体"/>
        </w:rPr>
        <w:br w:type="page"/>
      </w:r>
    </w:p>
    <w:p>
      <w:pPr>
        <w:spacing w:line="360" w:lineRule="auto"/>
        <w:jc w:val="center"/>
        <w:textAlignment w:val="baseline"/>
        <w:rPr>
          <w:rFonts w:ascii="Times New Roman" w:hAnsi="Times New Roman" w:eastAsia="宋体" w:cs="宋体"/>
          <w:b/>
          <w:sz w:val="30"/>
          <w:szCs w:val="30"/>
        </w:rPr>
      </w:pP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南通市第三人民医院内部控制体系建设服务项目的潜在供应商应在南通市第三人民医院官网获取采购文件，并</w:t>
      </w:r>
      <w:r>
        <w:rPr>
          <w:rFonts w:hint="eastAsia" w:ascii="Times New Roman" w:hAnsi="Times New Roman" w:eastAsia="宋体" w:cs="Times New Roman"/>
          <w:sz w:val="24"/>
          <w:szCs w:val="24"/>
          <w:highlight w:val="none"/>
        </w:rPr>
        <w:t>于</w:t>
      </w:r>
      <w:r>
        <w:rPr>
          <w:rFonts w:hint="eastAsia" w:ascii="Times New Roman" w:hAnsi="Times New Roman" w:eastAsia="宋体" w:cs="宋体"/>
          <w:sz w:val="24"/>
          <w:szCs w:val="24"/>
          <w:highlight w:val="none"/>
          <w:u w:val="single"/>
        </w:rPr>
        <w:t>2022</w:t>
      </w:r>
      <w:r>
        <w:rPr>
          <w:rFonts w:hint="eastAsia" w:ascii="Times New Roman" w:hAnsi="Times New Roman" w:eastAsia="宋体" w:cs="宋体"/>
          <w:bCs/>
          <w:sz w:val="24"/>
          <w:szCs w:val="24"/>
          <w:highlight w:val="none"/>
          <w:u w:val="single"/>
        </w:rPr>
        <w:t>年1</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22</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15</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1、项目编号：/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2、项目名称：南通市第三人民医院内部控制体系建设服务项目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3、采购方式：□竞争性谈判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lang w:val="en-US" w:eastAsia="zh-CN"/>
        </w:rPr>
        <w:t>25</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lang w:val="en-US" w:eastAsia="zh-CN"/>
        </w:rPr>
        <w:t>25</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460" w:lineRule="exact"/>
        <w:ind w:firstLine="480" w:firstLineChars="200"/>
        <w:rPr>
          <w:rFonts w:ascii="Times New Roman" w:hAnsi="Times New Roman" w:eastAsia="宋体"/>
          <w:sz w:val="24"/>
          <w:szCs w:val="24"/>
          <w:highlight w:val="none"/>
        </w:rPr>
      </w:pPr>
      <w:r>
        <w:rPr>
          <w:rFonts w:hint="eastAsia" w:ascii="Times New Roman" w:hAnsi="Times New Roman" w:eastAsia="宋体" w:cs="宋体"/>
          <w:sz w:val="24"/>
          <w:szCs w:val="24"/>
          <w:highlight w:val="none"/>
        </w:rPr>
        <w:t>6、采购需求：南通市第三人民医院内部控制体系建设服务项目服务内容包含但不限于</w:t>
      </w:r>
      <w:r>
        <w:rPr>
          <w:rFonts w:hint="eastAsia" w:ascii="Times New Roman" w:hAnsi="宋体" w:eastAsia="宋体"/>
          <w:sz w:val="24"/>
          <w:szCs w:val="24"/>
          <w:highlight w:val="none"/>
        </w:rPr>
        <w:t>风险评估、内部控制建设、内部控制报告、内部控制评价。根据我院实际情况，全面梳理，辨识各项经济活动及相关业务活动存在的风险，评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r>
        <w:rPr>
          <w:rFonts w:hint="eastAsia" w:ascii="Times New Roman" w:hAnsi="Times New Roman" w:eastAsia="宋体" w:cs="宋体"/>
          <w:sz w:val="24"/>
          <w:szCs w:val="24"/>
          <w:highlight w:val="none"/>
        </w:rPr>
        <w:t>；具体内容详见竞争性磋商文件第三章项目需求。</w:t>
      </w:r>
    </w:p>
    <w:p>
      <w:pPr>
        <w:snapToGrid w:val="0"/>
        <w:spacing w:line="480" w:lineRule="exact"/>
        <w:ind w:firstLine="480" w:firstLineChars="200"/>
        <w:jc w:val="left"/>
        <w:rPr>
          <w:rFonts w:ascii="Times New Roman" w:hAnsi="Times New Roman" w:eastAsia="宋体"/>
          <w:sz w:val="24"/>
          <w:szCs w:val="24"/>
          <w:highlight w:val="none"/>
        </w:rPr>
      </w:pPr>
      <w:r>
        <w:rPr>
          <w:rFonts w:hint="eastAsia" w:ascii="Times New Roman" w:hAnsi="Times New Roman" w:eastAsia="宋体" w:cs="宋体"/>
          <w:sz w:val="24"/>
          <w:szCs w:val="24"/>
          <w:highlight w:val="none"/>
        </w:rPr>
        <w:t>7、合同履行期限：</w:t>
      </w:r>
      <w:r>
        <w:rPr>
          <w:rFonts w:ascii="Times New Roman" w:hAnsi="Times New Roman" w:eastAsia="宋体" w:cs="Times New Roman"/>
          <w:sz w:val="24"/>
          <w:szCs w:val="24"/>
          <w:highlight w:val="none"/>
        </w:rPr>
        <w:t>合同签订后，乙方须提交时间安排进度表，并按规定的时间安排合同项目相关工作。</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30</w:t>
      </w:r>
      <w:r>
        <w:rPr>
          <w:rFonts w:ascii="Times New Roman" w:hAnsi="Times New Roman" w:eastAsia="宋体" w:cs="Times New Roman"/>
          <w:sz w:val="24"/>
          <w:szCs w:val="24"/>
          <w:highlight w:val="none"/>
        </w:rPr>
        <w:t>日前提交医院内部控制体系建设的相应成果。</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二、申请人的资格要求</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1、符合《中华人民共和国政府采购法》第二十二条规定：</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（1）具有独立承担民事责任的能力；</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（2）具有良好的商业信誉和健全的财务会计制度；</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（3）具有履行合同所必需的设备和专业技术能力；</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（4）有依法缴纳税收和社会保障资金的良好记录；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（6）法律、行政法规规定的其他条件。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2、落实政府采购政策需满足的资格要求：</w:t>
      </w:r>
      <w:r>
        <w:rPr>
          <w:rFonts w:hint="eastAsia" w:ascii="Times New Roman" w:hAnsi="Times New Roman" w:eastAsia="宋体" w:cs="宋体"/>
          <w:sz w:val="24"/>
          <w:szCs w:val="24"/>
          <w:highlight w:val="none"/>
          <w:u w:val="single"/>
        </w:rPr>
        <w:t>无</w:t>
      </w:r>
      <w:r>
        <w:rPr>
          <w:rFonts w:hint="eastAsia" w:ascii="Times New Roman" w:hAnsi="Times New Roman" w:eastAsia="宋体" w:cs="宋体"/>
          <w:sz w:val="24"/>
          <w:szCs w:val="24"/>
          <w:highlight w:val="none"/>
        </w:rPr>
        <w:t>；</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3、本项目的特定资格要求：</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r>
        <w:rPr>
          <w:rFonts w:ascii="Times New Roman" w:hAnsi="Times New Roman" w:eastAsia="宋体" w:cs="宋体"/>
          <w:sz w:val="24"/>
          <w:szCs w:val="24"/>
          <w:highlight w:val="none"/>
        </w:rPr>
        <w:t>供应商为具有内部控制、风险管理咨询服务能力的独立法人或其他组织，近两年（2021年1月1日以来）曾为公立医院或行政事业单位提供过内部控制体系建设服务，提供营业执照副本复印件或三证合一的营业执照副本复印件和项目证明材料。</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w:t>
      </w:r>
      <w:r>
        <w:rPr>
          <w:rFonts w:ascii="Times New Roman" w:hAnsi="Times New Roman" w:eastAsia="宋体" w:cs="宋体"/>
          <w:sz w:val="24"/>
          <w:szCs w:val="24"/>
          <w:highlight w:val="none"/>
        </w:rPr>
        <w:t>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w:t>
      </w:r>
      <w:r>
        <w:rPr>
          <w:rFonts w:ascii="Times New Roman" w:hAnsi="Times New Roman" w:eastAsia="宋体" w:cs="宋体"/>
          <w:sz w:val="24"/>
          <w:szCs w:val="24"/>
          <w:highlight w:val="none"/>
        </w:rPr>
        <w:t>拟派本项目负责人具有注册会计师资格证书，熟悉医院管理及行政事业内部控制基本规范，熟悉国家、省、市对医院经营管理和内部控制相关的规定，有过类似工作或项目经验。提供资格证书及相关工作经验证明材料的复印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ascii="Times New Roman" w:hAnsi="Times New Roman" w:eastAsia="宋体" w:cs="宋体"/>
          <w:sz w:val="24"/>
          <w:szCs w:val="24"/>
          <w:highlight w:val="none"/>
        </w:rPr>
        <w:t>本项目不接受联合体投标。</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5、拒绝下述供应商参加本次采购活动：</w:t>
      </w:r>
    </w:p>
    <w:p>
      <w:pPr>
        <w:spacing w:line="360" w:lineRule="auto"/>
        <w:ind w:firstLine="480" w:firstLineChars="200"/>
        <w:rPr>
          <w:rFonts w:ascii="Times New Roman" w:hAnsi="Times New Roman" w:eastAsia="宋体" w:cs="宋体"/>
          <w:sz w:val="24"/>
          <w:szCs w:val="24"/>
          <w:highlight w:val="none"/>
        </w:rPr>
      </w:pPr>
      <w:r>
        <w:rPr>
          <w:rFonts w:ascii="Times New Roman" w:hAnsi="Times New Roman" w:eastAsia="宋体" w:cs="宋体"/>
          <w:sz w:val="24"/>
          <w:szCs w:val="24"/>
          <w:highlight w:val="none"/>
        </w:rPr>
        <w:t>法定代表人（或分公司负责人）为同一个人的两个及两个以上法人，母公司、</w:t>
      </w:r>
      <w:r>
        <w:rPr>
          <w:rFonts w:ascii="Times New Roman" w:hAnsi="Times New Roman" w:eastAsia="宋体" w:cs="Times New Roman"/>
          <w:sz w:val="24"/>
          <w:szCs w:val="24"/>
          <w:highlight w:val="none"/>
          <w:lang w:val="zh-CN"/>
        </w:rPr>
        <w:t>全</w:t>
      </w:r>
      <w:r>
        <w:rPr>
          <w:rFonts w:ascii="Times New Roman" w:hAnsi="Times New Roman" w:eastAsia="宋体" w:cs="宋体"/>
          <w:sz w:val="24"/>
          <w:szCs w:val="24"/>
          <w:highlight w:val="none"/>
        </w:rPr>
        <w:t>资子公司及其控股公司，都不得在同一采购项目相同标段中同时参加投标，一经发现，将视同围标处理。</w:t>
      </w:r>
    </w:p>
    <w:p>
      <w:pPr>
        <w:snapToGrid w:val="0"/>
        <w:spacing w:line="440" w:lineRule="exact"/>
        <w:ind w:firstLine="472" w:firstLineChars="196"/>
        <w:jc w:val="left"/>
        <w:rPr>
          <w:rFonts w:ascii="Times New Roman" w:hAnsi="Times New Roman" w:eastAsia="宋体"/>
          <w:b/>
          <w:sz w:val="24"/>
          <w:szCs w:val="24"/>
          <w:highlight w:val="none"/>
        </w:rPr>
      </w:pPr>
      <w:r>
        <w:rPr>
          <w:rFonts w:hint="eastAsia" w:ascii="Times New Roman" w:hAnsi="Times New Roman" w:eastAsia="宋体"/>
          <w:b/>
          <w:sz w:val="24"/>
          <w:szCs w:val="24"/>
          <w:highlight w:val="none"/>
          <w:lang w:val="zh-CN"/>
        </w:rPr>
        <w:t>具体资格要求详见第</w:t>
      </w:r>
      <w:r>
        <w:rPr>
          <w:rFonts w:hint="eastAsia" w:ascii="Times New Roman" w:hAnsi="Times New Roman" w:eastAsia="宋体"/>
          <w:b/>
          <w:sz w:val="24"/>
          <w:szCs w:val="24"/>
          <w:highlight w:val="none"/>
        </w:rPr>
        <w:t>七</w:t>
      </w:r>
      <w:r>
        <w:rPr>
          <w:rFonts w:hint="eastAsia" w:ascii="Times New Roman" w:hAnsi="Times New Roman" w:eastAsia="宋体"/>
          <w:b/>
          <w:sz w:val="24"/>
          <w:szCs w:val="24"/>
          <w:highlight w:val="none"/>
          <w:lang w:val="zh-CN"/>
        </w:rPr>
        <w:t>章中的“资格审查文件”。</w:t>
      </w:r>
      <w:r>
        <w:rPr>
          <w:rFonts w:ascii="Times New Roman" w:hAnsi="Times New Roman" w:eastAsia="宋体" w:cs="Times New Roman"/>
          <w:b/>
          <w:sz w:val="24"/>
          <w:szCs w:val="24"/>
          <w:highlight w:val="none"/>
        </w:rPr>
        <w:t>如不符合要求，无意或故意参与投标的，所产生的一切后果由供应商承担。对提供虚假材料的响应供应商作无效标处理，且将依照相关法律法规规定处理。</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highlight w:val="none"/>
        </w:rPr>
        <w:t>三、获取采购文件</w:t>
      </w:r>
      <w:bookmarkEnd w:id="0"/>
      <w:bookmarkEnd w:id="1"/>
      <w:r>
        <w:rPr>
          <w:rFonts w:hint="eastAsia" w:ascii="Times New Roman" w:hAnsi="Times New Roman" w:eastAsia="宋体" w:cs="宋体"/>
          <w:b/>
          <w:kern w:val="0"/>
          <w:sz w:val="24"/>
          <w:szCs w:val="24"/>
          <w:highlight w:val="none"/>
        </w:rPr>
        <w:t>及投标报名</w:t>
      </w:r>
    </w:p>
    <w:p>
      <w:pPr>
        <w:spacing w:line="360" w:lineRule="auto"/>
        <w:ind w:firstLine="480" w:firstLineChars="200"/>
        <w:rPr>
          <w:rFonts w:ascii="Times New Roman" w:hAnsi="Times New Roman" w:eastAsia="宋体" w:cs="宋体"/>
          <w:sz w:val="24"/>
          <w:szCs w:val="24"/>
          <w:highlight w:val="none"/>
        </w:rPr>
      </w:pPr>
      <w:bookmarkStart w:id="2" w:name="_Toc28359082"/>
      <w:bookmarkStart w:id="3" w:name="_Toc35393624"/>
      <w:bookmarkStart w:id="4" w:name="_Toc35393793"/>
      <w:bookmarkStart w:id="5" w:name="_Toc28359005"/>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自本磋商公告发布之日起至2022年</w:t>
      </w:r>
      <w:r>
        <w:rPr>
          <w:rFonts w:hint="eastAsia" w:ascii="Times New Roman" w:hAnsi="Times New Roman" w:eastAsia="宋体" w:cs="宋体"/>
          <w:bCs/>
          <w:sz w:val="24"/>
          <w:szCs w:val="24"/>
          <w:highlight w:val="none"/>
          <w:u w:val="single"/>
        </w:rPr>
        <w:t>1</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21</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17</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00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3、售价：300元/份，随磋商响应文件递交，售后不退。</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hint="eastAsia" w:ascii="Times New Roman" w:hAnsi="Times New Roman" w:eastAsia="宋体" w:cs="宋体"/>
          <w:b/>
          <w:sz w:val="24"/>
          <w:szCs w:val="24"/>
          <w:highlight w:val="none"/>
        </w:rPr>
        <w:t>报名方式：</w:t>
      </w:r>
      <w:r>
        <w:rPr>
          <w:rFonts w:hint="eastAsia" w:ascii="Times New Roman" w:hAnsi="Times New Roman" w:eastAsia="宋体" w:cs="宋体"/>
          <w:sz w:val="24"/>
          <w:szCs w:val="24"/>
          <w:highlight w:val="none"/>
        </w:rPr>
        <w:t>供应商如确定参加投标，请如实填写《供应商参加投标确认函》并邮件至采购代理机构（邮箱：812298892@qq.com，联系电话：18912299056），同时需与招标代理机构经办人确认是否收到《供应商参加投标确认函》（格式见招标文件最后），回复接收截止时间：2022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21</w:t>
      </w:r>
      <w:r>
        <w:rPr>
          <w:rFonts w:hint="eastAsia" w:ascii="Times New Roman" w:hAnsi="Times New Roman" w:eastAsia="宋体" w:cs="宋体"/>
          <w:sz w:val="24"/>
          <w:szCs w:val="24"/>
          <w:highlight w:val="none"/>
        </w:rPr>
        <w:t>日1</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：00。如供应商未按上述要求去做，将自行承担所产生的风险。未报名（提交确认函）者、超过时限者不得前来投标，内容不全者后果自负。</w:t>
      </w:r>
    </w:p>
    <w:p>
      <w:pPr>
        <w:spacing w:line="360" w:lineRule="auto"/>
        <w:ind w:firstLine="482" w:firstLineChars="200"/>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四、</w:t>
      </w:r>
      <w:bookmarkEnd w:id="2"/>
      <w:bookmarkEnd w:id="3"/>
      <w:bookmarkEnd w:id="4"/>
      <w:bookmarkEnd w:id="5"/>
      <w:r>
        <w:rPr>
          <w:rFonts w:hint="eastAsia" w:ascii="Times New Roman" w:hAnsi="Times New Roman" w:eastAsia="宋体" w:cs="宋体"/>
          <w:b/>
          <w:kern w:val="0"/>
          <w:sz w:val="24"/>
          <w:szCs w:val="24"/>
          <w:highlight w:val="none"/>
        </w:rPr>
        <w:t>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2022年</w:t>
      </w:r>
      <w:r>
        <w:rPr>
          <w:rFonts w:hint="eastAsia" w:ascii="Times New Roman" w:hAnsi="Times New Roman" w:eastAsia="宋体" w:cs="宋体"/>
          <w:sz w:val="24"/>
          <w:szCs w:val="24"/>
          <w:highlight w:val="none"/>
          <w:u w:val="single"/>
          <w:lang w:val="en-US" w:eastAsia="zh-CN"/>
        </w:rPr>
        <w:t>11</w:t>
      </w:r>
      <w:r>
        <w:rPr>
          <w:rFonts w:hint="eastAsia" w:ascii="Times New Roman" w:hAnsi="Times New Roman" w:eastAsia="宋体" w:cs="宋体"/>
          <w:sz w:val="24"/>
          <w:szCs w:val="24"/>
          <w:highlight w:val="none"/>
          <w:u w:val="single"/>
        </w:rPr>
        <w:t>月</w:t>
      </w:r>
      <w:r>
        <w:rPr>
          <w:rFonts w:hint="eastAsia" w:ascii="Times New Roman" w:hAnsi="Times New Roman" w:eastAsia="宋体" w:cs="宋体"/>
          <w:sz w:val="24"/>
          <w:szCs w:val="24"/>
          <w:highlight w:val="none"/>
          <w:u w:val="single"/>
          <w:lang w:val="en-US" w:eastAsia="zh-CN"/>
        </w:rPr>
        <w:t>22</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14</w:t>
      </w:r>
      <w:r>
        <w:rPr>
          <w:rFonts w:hint="eastAsia" w:ascii="Times New Roman" w:hAnsi="Times New Roman" w:eastAsia="宋体" w:cs="宋体"/>
          <w:sz w:val="24"/>
          <w:szCs w:val="24"/>
          <w:highlight w:val="none"/>
          <w:u w:val="single"/>
        </w:rPr>
        <w:t>时</w:t>
      </w:r>
      <w:r>
        <w:rPr>
          <w:rFonts w:hint="eastAsia" w:ascii="Times New Roman" w:hAnsi="Times New Roman" w:eastAsia="宋体" w:cs="宋体"/>
          <w:sz w:val="24"/>
          <w:szCs w:val="24"/>
          <w:highlight w:val="none"/>
          <w:u w:val="single"/>
          <w:lang w:val="en-US" w:eastAsia="zh-CN"/>
        </w:rPr>
        <w:t>15</w:t>
      </w:r>
      <w:r>
        <w:rPr>
          <w:rFonts w:hint="eastAsia" w:ascii="Times New Roman" w:hAnsi="Times New Roman" w:eastAsia="宋体" w:cs="宋体"/>
          <w:sz w:val="24"/>
          <w:szCs w:val="24"/>
          <w:highlight w:val="none"/>
          <w:u w:val="single"/>
        </w:rPr>
        <w:t>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宋体"/>
          <w:sz w:val="24"/>
          <w:szCs w:val="24"/>
          <w:highlight w:val="none"/>
          <w:u w:val="single"/>
        </w:rPr>
        <w:t>南通市第三人民医院</w:t>
      </w:r>
      <w:r>
        <w:rPr>
          <w:rFonts w:hint="eastAsia" w:ascii="Times New Roman" w:hAnsi="Times New Roman" w:eastAsia="宋体"/>
          <w:sz w:val="24"/>
          <w:szCs w:val="24"/>
          <w:highlight w:val="none"/>
          <w:u w:val="single"/>
        </w:rPr>
        <w:t>5</w:t>
      </w:r>
      <w:r>
        <w:rPr>
          <w:rFonts w:hint="eastAsia" w:ascii="Times New Roman" w:hAnsi="Times New Roman" w:eastAsia="宋体" w:cs="宋体"/>
          <w:sz w:val="24"/>
          <w:szCs w:val="24"/>
          <w:highlight w:val="none"/>
          <w:u w:val="single"/>
        </w:rPr>
        <w:t>号楼5楼会议室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84"/>
      <w:bookmarkStart w:id="7" w:name="_Toc28359007"/>
      <w:bookmarkStart w:id="8" w:name="_Toc35393794"/>
      <w:bookmarkStart w:id="9" w:name="_Toc35393625"/>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2022年1</w:t>
      </w:r>
      <w:r>
        <w:rPr>
          <w:rFonts w:hint="eastAsia" w:ascii="Times New Roman" w:hAnsi="Times New Roman" w:eastAsia="宋体" w:cs="宋体"/>
          <w:sz w:val="24"/>
          <w:szCs w:val="24"/>
          <w:highlight w:val="none"/>
          <w:u w:val="single"/>
          <w:lang w:val="en-US" w:eastAsia="zh-CN"/>
        </w:rPr>
        <w:t>1</w:t>
      </w:r>
      <w:r>
        <w:rPr>
          <w:rFonts w:hint="eastAsia" w:ascii="Times New Roman" w:hAnsi="Times New Roman" w:eastAsia="宋体" w:cs="宋体"/>
          <w:sz w:val="24"/>
          <w:szCs w:val="24"/>
          <w:highlight w:val="none"/>
          <w:u w:val="single"/>
        </w:rPr>
        <w:t>月</w:t>
      </w:r>
      <w:r>
        <w:rPr>
          <w:rFonts w:hint="eastAsia" w:ascii="Times New Roman" w:hAnsi="Times New Roman" w:eastAsia="宋体" w:cs="宋体"/>
          <w:sz w:val="24"/>
          <w:szCs w:val="24"/>
          <w:highlight w:val="none"/>
          <w:u w:val="single"/>
          <w:lang w:val="en-US" w:eastAsia="zh-CN"/>
        </w:rPr>
        <w:t>22</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14</w:t>
      </w:r>
      <w:r>
        <w:rPr>
          <w:rFonts w:hint="eastAsia" w:ascii="Times New Roman" w:hAnsi="Times New Roman" w:eastAsia="宋体" w:cs="宋体"/>
          <w:sz w:val="24"/>
          <w:szCs w:val="24"/>
          <w:highlight w:val="none"/>
          <w:u w:val="single"/>
        </w:rPr>
        <w:t>时</w:t>
      </w:r>
      <w:r>
        <w:rPr>
          <w:rFonts w:hint="eastAsia" w:ascii="Times New Roman" w:hAnsi="Times New Roman" w:eastAsia="宋体" w:cs="宋体"/>
          <w:sz w:val="24"/>
          <w:szCs w:val="24"/>
          <w:highlight w:val="none"/>
          <w:u w:val="single"/>
          <w:lang w:val="en-US" w:eastAsia="zh-CN"/>
        </w:rPr>
        <w:t>15</w:t>
      </w:r>
      <w:bookmarkStart w:id="17" w:name="_GoBack"/>
      <w:bookmarkEnd w:id="17"/>
      <w:r>
        <w:rPr>
          <w:rFonts w:hint="eastAsia" w:ascii="Times New Roman" w:hAnsi="Times New Roman" w:eastAsia="宋体" w:cs="宋体"/>
          <w:sz w:val="24"/>
          <w:szCs w:val="24"/>
          <w:highlight w:val="none"/>
          <w:u w:val="single"/>
        </w:rPr>
        <w:t>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2、地点：</w:t>
      </w:r>
      <w:r>
        <w:rPr>
          <w:rFonts w:hint="eastAsia" w:ascii="Times New Roman" w:hAnsi="Times New Roman" w:eastAsia="宋体" w:cs="宋体"/>
          <w:sz w:val="24"/>
          <w:szCs w:val="24"/>
          <w:highlight w:val="none"/>
          <w:u w:val="single"/>
        </w:rPr>
        <w:t>南通市第三人民医院5号楼5楼会议室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2、对项目需求部分（供应商其他资格要求、项目需求、评分标准）的询问、质疑请向采购人提出，由采购人负责答复；对</w:t>
      </w:r>
      <w:r>
        <w:rPr>
          <w:rFonts w:hint="eastAsia" w:ascii="Times New Roman" w:hAnsi="Times New Roman" w:eastAsia="宋体"/>
          <w:sz w:val="24"/>
          <w:szCs w:val="24"/>
          <w:highlight w:val="none"/>
        </w:rPr>
        <w:t>项目磋商文件</w:t>
      </w:r>
      <w:r>
        <w:rPr>
          <w:rFonts w:hint="eastAsia" w:ascii="Times New Roman" w:hAnsi="Times New Roman" w:eastAsia="宋体" w:cs="宋体"/>
          <w:sz w:val="24"/>
          <w:szCs w:val="24"/>
          <w:highlight w:val="none"/>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highlight w:val="none"/>
        </w:rPr>
        <w:t>3、供应商应依照规定提交各类声明函、承诺函，不再同时提供原件备查或提供有关部门出具的相关证明文件。但中标或成交供应商，应做</w:t>
      </w:r>
      <w:r>
        <w:rPr>
          <w:rFonts w:hint="eastAsia" w:ascii="Times New Roman" w:hAnsi="Times New Roman" w:eastAsia="宋体" w:cs="宋体"/>
          <w:sz w:val="24"/>
          <w:szCs w:val="24"/>
        </w:rPr>
        <w:t>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联系人：</w:t>
      </w:r>
      <w:r>
        <w:rPr>
          <w:rFonts w:hint="eastAsia" w:ascii="Times New Roman" w:hAnsi="Times New Roman" w:eastAsia="宋体" w:cs="宋体"/>
          <w:bCs/>
          <w:sz w:val="24"/>
          <w:lang w:eastAsia="zh-CN"/>
        </w:rPr>
        <w:t>钱科</w:t>
      </w:r>
      <w:r>
        <w:rPr>
          <w:rFonts w:hint="eastAsia" w:ascii="Times New Roman" w:hAnsi="Times New Roman" w:eastAsia="宋体" w:cs="宋体"/>
          <w:bCs/>
          <w:sz w:val="24"/>
          <w:lang w:val="en-US" w:eastAsia="zh-CN"/>
        </w:rPr>
        <w:t xml:space="preserve">  </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联系电话：</w:t>
      </w:r>
      <w:r>
        <w:rPr>
          <w:rFonts w:hint="eastAsia" w:ascii="Times New Roman" w:hAnsi="Times New Roman" w:eastAsia="宋体" w:cs="宋体"/>
          <w:bCs/>
          <w:sz w:val="24"/>
          <w:lang w:val="en-US" w:eastAsia="zh-CN"/>
        </w:rPr>
        <w:t>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6.供应商在磋商开始前务必提前踏勘现场，进一步获取所需信息，一旦成交不得对现场条件提出额外要求，不得要求增加费用。</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三、响应文件的编制及装订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四、响应文件的份数和签署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按本竞争性磋商文件内项目需求及合同条款的全部采购内容计算总价，最终磋商报价应包括本项目的全部费用及相关的服务费。磋商响应报价应包括但不限于：供应商为完成本项目所投入人员工资、调研费、培训费、交通费、差旅费、会务费、资料费、文件打印装订费、管理费、税金及政策性文件规定合同包含内的所有风险责任等各项费用。采购人不再承担供应商一次性报价之外的其他任何费用，供应商的最终成交价在合同实施期间不因市场变化因素而变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kern w:val="0"/>
          <w:sz w:val="24"/>
          <w:szCs w:val="24"/>
          <w:lang w:val="zh-CN"/>
        </w:rPr>
      </w:pPr>
      <w:bookmarkStart w:id="10" w:name="_Toc13642116"/>
      <w:r>
        <w:rPr>
          <w:rFonts w:ascii="Times New Roman" w:hAnsi="Times New Roman" w:eastAsia="宋体" w:cs="Times New Roman"/>
          <w:b/>
          <w:kern w:val="0"/>
          <w:sz w:val="24"/>
          <w:szCs w:val="24"/>
          <w:lang w:val="zh-CN"/>
        </w:rPr>
        <w:t>一、总体目标</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1、全面推进医院内部控制建设，进一步规范医院经济活动及相关业务活动，有效防范和管控内部运营风险，建立健全科学有效的内部制约机制，促进医院服务效能和内部治理水平不断提高。</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2、保证医院经济活动合法合规、医疗及互联网业务规范有序、资产安全和使用有效、财务信息真实完整，有效防范舞弊和预防腐败、提高资源配置和使用效益。</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3、须满足国家卫生健康委和国家中医药管理局对公立医院内部控制《公立医院内部控制管理办法》的要求。</w:t>
      </w:r>
    </w:p>
    <w:p>
      <w:pPr>
        <w:spacing w:line="360" w:lineRule="auto"/>
        <w:ind w:firstLine="482" w:firstLineChars="200"/>
        <w:rPr>
          <w:rFonts w:ascii="Times New Roman" w:hAnsi="Times New Roman" w:eastAsia="宋体" w:cs="Times New Roman"/>
          <w:b/>
          <w:kern w:val="0"/>
          <w:sz w:val="24"/>
          <w:szCs w:val="24"/>
          <w:lang w:val="zh-CN"/>
        </w:rPr>
      </w:pPr>
      <w:r>
        <w:rPr>
          <w:rFonts w:ascii="Times New Roman" w:hAnsi="Times New Roman" w:eastAsia="宋体" w:cs="Times New Roman"/>
          <w:b/>
          <w:kern w:val="0"/>
          <w:sz w:val="24"/>
          <w:szCs w:val="24"/>
          <w:lang w:val="zh-CN"/>
        </w:rPr>
        <w:t>二、服务内容</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主要包括：风险评估、内部控制建设、内部控制报告、内部控制评价。根据我院实际情况，全面梳理，辨识各项经济活动及相关业务活动存在的风险，评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本项目服务需求包括但不限于以下内容：</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1、制定医院内部控制体系建设实施方案。</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2、开展风险评估：对医院的风险进行全面评估，风险评估管理包括单位层面和业务层面的风险评估。</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3、根据医院实际情况，从单位层面及业务层面建立医院整体内部控制体系。</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（1）单位层面的内部控制建设包括单位决策机制、内部管理机构设置及职责分工、决策和执行的制衡机制、内部管理机制的健全、关键岗位管理和信息化建设等（内容详见《公立医院内部控制管理办法》）。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4、优化业务流程，设计合理合规的业务流程，编写内部控制手册。</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5、项目结束时，需向医院提交的资料清单包括但不限于：</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《医院内部控制建设实施方案》（包括培训资料）</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《医院风险评估报告》（包括单位层面、业务层面）</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《医院内部控制手册》（含内控流程图、内控文档等）</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《医院内部控制报告》</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6、进行人员培训并对医院各部门及人员在内部控制实施过程中的责任等内容进行专题培训（合同期内，全院性的大培训至少</w:t>
      </w:r>
      <w:r>
        <w:rPr>
          <w:rFonts w:hint="eastAsia" w:ascii="Times New Roman" w:hAnsi="Times New Roman" w:eastAsia="宋体" w:cs="Times New Roman"/>
          <w:kern w:val="0"/>
          <w:sz w:val="24"/>
          <w:szCs w:val="24"/>
          <w:lang w:val="en-US" w:eastAsia="zh-CN"/>
        </w:rPr>
        <w:t>3</w:t>
      </w:r>
      <w:r>
        <w:rPr>
          <w:rFonts w:ascii="Times New Roman" w:hAnsi="Times New Roman" w:eastAsia="宋体" w:cs="Times New Roman"/>
          <w:kern w:val="0"/>
          <w:sz w:val="24"/>
          <w:szCs w:val="24"/>
          <w:lang w:val="zh-CN"/>
        </w:rPr>
        <w:t>次）。</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7、验收交付后提供相关业务电话咨询与解答服务。</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8、本项目具体实施内容详见《公立医院内部控制管理办法》（国卫财务发〔2020〕31号）文件中各项规定，项目实施完成后，医院内控建设应符合《行政事业单位内部控制规范》、《关于全面推进行政事业单位内部控制指导意见》和《公立医院内部控制管理办法》等相关规定。</w:t>
      </w:r>
    </w:p>
    <w:p>
      <w:pPr>
        <w:spacing w:line="360" w:lineRule="auto"/>
        <w:ind w:firstLine="482" w:firstLineChars="200"/>
        <w:rPr>
          <w:rFonts w:ascii="Times New Roman" w:hAnsi="Times New Roman" w:eastAsia="宋体" w:cs="Times New Roman"/>
          <w:b/>
          <w:kern w:val="0"/>
          <w:sz w:val="24"/>
          <w:szCs w:val="24"/>
          <w:highlight w:val="none"/>
          <w:lang w:val="zh-CN"/>
        </w:rPr>
      </w:pPr>
      <w:r>
        <w:rPr>
          <w:rFonts w:ascii="Times New Roman" w:hAnsi="Times New Roman" w:eastAsia="宋体" w:cs="Times New Roman"/>
          <w:b/>
          <w:kern w:val="0"/>
          <w:sz w:val="24"/>
          <w:szCs w:val="24"/>
          <w:lang w:val="zh-CN"/>
        </w:rPr>
        <w:t>三、项目进</w:t>
      </w:r>
      <w:r>
        <w:rPr>
          <w:rFonts w:ascii="Times New Roman" w:hAnsi="Times New Roman" w:eastAsia="宋体" w:cs="Times New Roman"/>
          <w:b/>
          <w:kern w:val="0"/>
          <w:sz w:val="24"/>
          <w:szCs w:val="24"/>
          <w:highlight w:val="none"/>
          <w:lang w:val="zh-CN"/>
        </w:rPr>
        <w:t>度要求</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highlight w:val="none"/>
          <w:lang w:val="zh-CN"/>
        </w:rPr>
        <w:t>202</w:t>
      </w:r>
      <w:r>
        <w:rPr>
          <w:rFonts w:hint="eastAsia" w:ascii="Times New Roman" w:hAnsi="Times New Roman" w:eastAsia="宋体" w:cs="Times New Roman"/>
          <w:kern w:val="0"/>
          <w:sz w:val="24"/>
          <w:szCs w:val="24"/>
          <w:highlight w:val="none"/>
          <w:lang w:val="en-US" w:eastAsia="zh-CN"/>
        </w:rPr>
        <w:t>3</w:t>
      </w:r>
      <w:r>
        <w:rPr>
          <w:rFonts w:ascii="Times New Roman" w:hAnsi="Times New Roman" w:eastAsia="宋体" w:cs="Times New Roman"/>
          <w:kern w:val="0"/>
          <w:sz w:val="24"/>
          <w:szCs w:val="24"/>
          <w:highlight w:val="none"/>
          <w:lang w:val="zh-CN"/>
        </w:rPr>
        <w:t>年</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lang w:val="zh-CN"/>
        </w:rPr>
        <w:t>月</w:t>
      </w:r>
      <w:r>
        <w:rPr>
          <w:rFonts w:hint="eastAsia" w:ascii="Times New Roman" w:hAnsi="Times New Roman" w:eastAsia="宋体" w:cs="Times New Roman"/>
          <w:kern w:val="0"/>
          <w:sz w:val="24"/>
          <w:szCs w:val="24"/>
          <w:highlight w:val="none"/>
          <w:lang w:val="zh-CN"/>
        </w:rPr>
        <w:t>3</w:t>
      </w:r>
      <w:r>
        <w:rPr>
          <w:rFonts w:hint="eastAsia" w:ascii="Times New Roman" w:hAnsi="Times New Roman" w:eastAsia="宋体" w:cs="Times New Roman"/>
          <w:kern w:val="0"/>
          <w:sz w:val="24"/>
          <w:szCs w:val="24"/>
          <w:highlight w:val="none"/>
          <w:lang w:val="en-US" w:eastAsia="zh-CN"/>
        </w:rPr>
        <w:t>0</w:t>
      </w:r>
      <w:r>
        <w:rPr>
          <w:rFonts w:ascii="Times New Roman" w:hAnsi="Times New Roman" w:eastAsia="宋体" w:cs="Times New Roman"/>
          <w:kern w:val="0"/>
          <w:sz w:val="24"/>
          <w:szCs w:val="24"/>
          <w:highlight w:val="none"/>
          <w:lang w:val="zh-CN"/>
        </w:rPr>
        <w:t>日前按采购文件及合同要求提交服务成果，在保证成果质量的前提下，工期越短越</w:t>
      </w:r>
      <w:r>
        <w:rPr>
          <w:rFonts w:ascii="Times New Roman" w:hAnsi="Times New Roman" w:eastAsia="宋体" w:cs="Times New Roman"/>
          <w:kern w:val="0"/>
          <w:sz w:val="24"/>
          <w:szCs w:val="24"/>
          <w:lang w:val="zh-CN"/>
        </w:rPr>
        <w:t>好。</w:t>
      </w:r>
    </w:p>
    <w:p>
      <w:pPr>
        <w:spacing w:line="360" w:lineRule="auto"/>
        <w:ind w:firstLine="482" w:firstLineChars="200"/>
        <w:rPr>
          <w:rFonts w:ascii="Times New Roman" w:hAnsi="Times New Roman" w:eastAsia="宋体" w:cs="Times New Roman"/>
          <w:b/>
          <w:kern w:val="0"/>
          <w:sz w:val="24"/>
          <w:szCs w:val="24"/>
          <w:lang w:val="zh-CN"/>
        </w:rPr>
      </w:pPr>
      <w:r>
        <w:rPr>
          <w:rFonts w:ascii="Times New Roman" w:hAnsi="Times New Roman" w:eastAsia="宋体" w:cs="Times New Roman"/>
          <w:b/>
          <w:kern w:val="0"/>
          <w:sz w:val="24"/>
          <w:szCs w:val="24"/>
          <w:lang w:val="zh-CN"/>
        </w:rPr>
        <w:t>四、付款方式</w:t>
      </w:r>
    </w:p>
    <w:bookmarkEnd w:id="10"/>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与中标单位签订服务合同后，支付合同总额的30%；项目完成并通过采购人验收后支付合同总额的60%；项目完成1年后，中标单位提供运行1年后的《医院内部控制报告》，采购人付清余款。每次付款中标单位须开具有效增值税发票。</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1" w:name="_Toc43217893"/>
      <w:bookmarkStart w:id="12" w:name="_Toc38121794"/>
      <w:bookmarkStart w:id="13" w:name="_Toc182848996"/>
      <w:bookmarkStart w:id="14" w:name="_Toc85627670"/>
      <w:bookmarkStart w:id="15" w:name="_Toc37322565"/>
      <w:r>
        <w:rPr>
          <w:rFonts w:hint="eastAsia" w:ascii="Times New Roman" w:hAnsi="Times New Roman" w:eastAsia="宋体" w:cs="宋体"/>
          <w:w w:val="80"/>
          <w:sz w:val="48"/>
          <w:szCs w:val="44"/>
        </w:rPr>
        <w:t xml:space="preserve"> 评审方法和程序</w:t>
      </w:r>
      <w:bookmarkEnd w:id="11"/>
      <w:bookmarkEnd w:id="12"/>
      <w:bookmarkEnd w:id="13"/>
      <w:bookmarkEnd w:id="14"/>
      <w:bookmarkEnd w:id="15"/>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6" w:name="_Toc363573857"/>
      <w:bookmarkEnd w:id="16"/>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80%（权重）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20%（权重）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（一）技术分：（80分）</w:t>
      </w:r>
    </w:p>
    <w:tbl>
      <w:tblPr>
        <w:tblStyle w:val="18"/>
        <w:tblW w:w="9854" w:type="dxa"/>
        <w:jc w:val="center"/>
        <w:tblLayout w:type="fixed"/>
        <w:tblCellMar>
          <w:top w:w="0" w:type="dxa"/>
          <w:left w:w="108" w:type="dxa"/>
          <w:bottom w:w="0" w:type="dxa"/>
          <w:right w:w="108" w:type="dxa"/>
        </w:tblCellMar>
      </w:tblPr>
      <w:tblGrid>
        <w:gridCol w:w="656"/>
        <w:gridCol w:w="1324"/>
        <w:gridCol w:w="7200"/>
        <w:gridCol w:w="674"/>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32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720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1938" w:hRule="atLeast"/>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1</w:t>
            </w:r>
          </w:p>
        </w:tc>
        <w:tc>
          <w:tcPr>
            <w:tcW w:w="1324" w:type="dxa"/>
            <w:tcBorders>
              <w:top w:val="single" w:color="auto" w:sz="4" w:space="0"/>
              <w:left w:val="nil"/>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综合实力</w:t>
            </w:r>
          </w:p>
        </w:tc>
        <w:tc>
          <w:tcPr>
            <w:tcW w:w="7200" w:type="dxa"/>
            <w:tcBorders>
              <w:top w:val="single" w:color="auto" w:sz="4" w:space="0"/>
              <w:left w:val="nil"/>
              <w:right w:val="single" w:color="auto" w:sz="4" w:space="0"/>
            </w:tcBorders>
            <w:vAlign w:val="center"/>
          </w:tcPr>
          <w:p>
            <w:pPr>
              <w:snapToGrid w:val="0"/>
              <w:spacing w:line="400" w:lineRule="exact"/>
              <w:rPr>
                <w:rFonts w:eastAsia="宋体"/>
                <w:sz w:val="24"/>
                <w:szCs w:val="24"/>
                <w:highlight w:val="none"/>
              </w:rPr>
            </w:pPr>
            <w:r>
              <w:rPr>
                <w:rFonts w:ascii="Times New Roman" w:hAnsi="Times New Roman" w:eastAsia="宋体" w:cs="Times New Roman"/>
                <w:sz w:val="24"/>
                <w:szCs w:val="24"/>
                <w:highlight w:val="none"/>
              </w:rPr>
              <w:t>1.供应商获得质量管理体系认证、环境管理体系认证、职业健康安全管理体系认证且证书在有效期内的，每提供1份证书得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分，本项最高得</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分。（提供证书扫描件加盖供应商公章）</w:t>
            </w:r>
          </w:p>
          <w:p>
            <w:pPr>
              <w:snapToGrid w:val="0"/>
              <w:spacing w:line="400" w:lineRule="exact"/>
              <w:rPr>
                <w:rFonts w:eastAsia="宋体"/>
                <w:sz w:val="24"/>
                <w:szCs w:val="24"/>
                <w:highlight w:val="none"/>
              </w:rPr>
            </w:pPr>
            <w:r>
              <w:rPr>
                <w:rFonts w:ascii="Times New Roman" w:hAnsi="Times New Roman" w:eastAsia="宋体" w:cs="Times New Roman"/>
                <w:sz w:val="24"/>
                <w:szCs w:val="24"/>
                <w:highlight w:val="none"/>
              </w:rPr>
              <w:t>2.供应商主持的省部级及以上内部控制相关研究项目或内部控制相关研究成果获省部级及以上奖项的，每提供1个得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分，本项最高得</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分。（提供证书扫描件加盖供应商公章）</w:t>
            </w:r>
          </w:p>
          <w:p>
            <w:pPr>
              <w:rPr>
                <w:rFonts w:ascii="Times New Roman" w:hAnsi="Times New Roman" w:eastAsia="宋体"/>
                <w:sz w:val="24"/>
                <w:szCs w:val="24"/>
                <w:highlight w:val="none"/>
              </w:rPr>
            </w:pPr>
            <w:r>
              <w:rPr>
                <w:rFonts w:ascii="Times New Roman" w:hAnsi="Times New Roman" w:eastAsia="宋体" w:cs="Times New Roman"/>
                <w:sz w:val="24"/>
                <w:szCs w:val="24"/>
                <w:highlight w:val="none"/>
              </w:rPr>
              <w:t>3.</w:t>
            </w:r>
            <w:r>
              <w:rPr>
                <w:rFonts w:ascii="Times New Roman" w:hAnsi="Times New Roman" w:eastAsia="宋体" w:cs="Times New Roman"/>
                <w:sz w:val="24"/>
                <w:szCs w:val="24"/>
                <w:highlight w:val="none"/>
                <w:lang w:eastAsia="zh-Hans"/>
              </w:rPr>
              <w:t>供应商</w:t>
            </w:r>
            <w:r>
              <w:rPr>
                <w:rFonts w:ascii="Times New Roman" w:hAnsi="Times New Roman" w:eastAsia="宋体" w:cs="Times New Roman"/>
                <w:sz w:val="24"/>
                <w:szCs w:val="24"/>
                <w:highlight w:val="none"/>
              </w:rPr>
              <w:t>主持完成卫生系统省级及以上行业协会课题研究的</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rPr>
              <w:t>每提供1个得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w:t>
            </w:r>
            <w:r>
              <w:rPr>
                <w:rFonts w:ascii="Times New Roman" w:hAnsi="Times New Roman" w:eastAsia="宋体" w:cs="Times New Roman"/>
                <w:sz w:val="24"/>
                <w:szCs w:val="24"/>
                <w:highlight w:val="none"/>
                <w:lang w:eastAsia="zh-Hans"/>
              </w:rPr>
              <w:t>本项最高得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lang w:eastAsia="zh-Hans"/>
              </w:rPr>
              <w:t>分。（</w:t>
            </w:r>
            <w:r>
              <w:rPr>
                <w:rFonts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lang w:eastAsia="zh-Hans"/>
              </w:rPr>
              <w:t>课题立项书</w:t>
            </w:r>
            <w:r>
              <w:rPr>
                <w:rFonts w:ascii="Times New Roman" w:hAnsi="Times New Roman" w:eastAsia="宋体" w:cs="Times New Roman"/>
                <w:sz w:val="24"/>
                <w:szCs w:val="24"/>
                <w:highlight w:val="none"/>
              </w:rPr>
              <w:t>及结项材料加盖供应商公章）</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hint="eastAsia" w:ascii="Times New Roman" w:hAnsi="Times New Roman" w:eastAsia="宋体" w:cs="仿宋"/>
                <w:sz w:val="24"/>
                <w:szCs w:val="24"/>
                <w:lang w:eastAsia="zh-CN"/>
              </w:rPr>
            </w:pPr>
            <w:r>
              <w:rPr>
                <w:rFonts w:hint="eastAsia" w:ascii="Times New Roman" w:hAnsi="Times New Roman" w:eastAsia="宋体" w:cs="仿宋"/>
                <w:sz w:val="24"/>
                <w:szCs w:val="24"/>
                <w:lang w:val="en-US" w:eastAsia="zh-CN"/>
              </w:rPr>
              <w:t>6</w:t>
            </w:r>
          </w:p>
        </w:tc>
      </w:tr>
      <w:tr>
        <w:tblPrEx>
          <w:tblCellMar>
            <w:top w:w="0" w:type="dxa"/>
            <w:left w:w="108" w:type="dxa"/>
            <w:bottom w:w="0" w:type="dxa"/>
            <w:right w:w="108" w:type="dxa"/>
          </w:tblCellMar>
        </w:tblPrEx>
        <w:trPr>
          <w:trHeight w:val="3809" w:hRule="atLeast"/>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2</w:t>
            </w:r>
          </w:p>
        </w:tc>
        <w:tc>
          <w:tcPr>
            <w:tcW w:w="1324" w:type="dxa"/>
            <w:tcBorders>
              <w:top w:val="single" w:color="auto" w:sz="4" w:space="0"/>
              <w:left w:val="nil"/>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业绩</w:t>
            </w:r>
          </w:p>
        </w:tc>
        <w:tc>
          <w:tcPr>
            <w:tcW w:w="7200" w:type="dxa"/>
            <w:tcBorders>
              <w:top w:val="single" w:color="auto" w:sz="4" w:space="0"/>
              <w:left w:val="nil"/>
              <w:right w:val="single" w:color="auto" w:sz="4" w:space="0"/>
            </w:tcBorders>
            <w:vAlign w:val="center"/>
          </w:tcPr>
          <w:p>
            <w:pPr>
              <w:numPr>
                <w:ilvl w:val="0"/>
                <w:numId w:val="0"/>
              </w:numPr>
              <w:snapToGrid w:val="0"/>
              <w:spacing w:line="400" w:lineRule="exact"/>
              <w:ind w:leftChars="0"/>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1.</w:t>
            </w:r>
            <w:r>
              <w:rPr>
                <w:rFonts w:hint="eastAsia" w:ascii="Times New Roman" w:hAnsi="Times New Roman" w:eastAsia="宋体"/>
                <w:sz w:val="24"/>
                <w:szCs w:val="24"/>
                <w:highlight w:val="none"/>
              </w:rPr>
              <w:t>供应商提供2019年1月1日以来（以合同签订时间为准）为行政事业单位完成类似内控体系建设项目业绩，有1个得2分，本项最高得10分。（提供类似业绩合同及发票复印件，均加盖供应商公章，未提供或未完全提供证明材料的，不得分）</w:t>
            </w:r>
          </w:p>
          <w:p>
            <w:pPr>
              <w:numPr>
                <w:ilvl w:val="0"/>
                <w:numId w:val="0"/>
              </w:numPr>
              <w:snapToGrid w:val="0"/>
              <w:spacing w:line="400" w:lineRule="exact"/>
              <w:ind w:leftChars="0"/>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2.</w:t>
            </w:r>
            <w:r>
              <w:rPr>
                <w:rFonts w:hint="eastAsia" w:ascii="Times New Roman" w:hAnsi="Times New Roman" w:eastAsia="宋体"/>
                <w:sz w:val="24"/>
                <w:szCs w:val="24"/>
                <w:highlight w:val="none"/>
              </w:rPr>
              <w:t>本项目负责人2019年1月1日以来（以合同签订时间为准）负责过类似内控体系建设工作，其中，公立三甲医院有1个得4分，非公立三甲医院有1个得3分，其他单位有1个得2分，本项最高得16分。（提供项目负责人参与并签署的同类项目合同复印件作为证明，复印件加盖供应商公章，未提供或未完全提供证明材料的，不得分）（项目负责人业绩与供应商业绩同一项目不重复计分）</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highlight w:val="none"/>
                <w:lang w:val="en-US" w:eastAsia="zh-CN"/>
              </w:rPr>
            </w:pPr>
            <w:r>
              <w:rPr>
                <w:rFonts w:hint="eastAsia" w:ascii="Times New Roman" w:hAnsi="Times New Roman" w:eastAsia="宋体" w:cs="仿宋"/>
                <w:sz w:val="24"/>
                <w:szCs w:val="24"/>
                <w:highlight w:val="none"/>
                <w:lang w:val="en-US" w:eastAsia="zh-CN"/>
              </w:rPr>
              <w:t>26</w:t>
            </w:r>
          </w:p>
        </w:tc>
      </w:tr>
      <w:tr>
        <w:tblPrEx>
          <w:tblCellMar>
            <w:top w:w="0" w:type="dxa"/>
            <w:left w:w="108" w:type="dxa"/>
            <w:bottom w:w="0" w:type="dxa"/>
            <w:right w:w="108" w:type="dxa"/>
          </w:tblCellMar>
        </w:tblPrEx>
        <w:trPr>
          <w:trHeight w:val="298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3</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整体服务方案</w:t>
            </w:r>
          </w:p>
        </w:tc>
        <w:tc>
          <w:tcPr>
            <w:tcW w:w="7200"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1.项目实施方案要素（人员、时间安排、实施步骤等因素），评委横向对比后打分，0-6分；</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2.内部控制体系建设内容齐全（管理活动、经济活动）评委横向对比后打分，0-12分；</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3.内部控制体系建设方法科学（调研方法、流程优化等）评委横向对比后打分，0-6分；</w:t>
            </w:r>
          </w:p>
          <w:p>
            <w:pPr>
              <w:rPr>
                <w:rFonts w:ascii="Times New Roman" w:hAnsi="Times New Roman" w:eastAsia="宋体"/>
                <w:sz w:val="24"/>
                <w:szCs w:val="24"/>
                <w:highlight w:val="none"/>
              </w:rPr>
            </w:pPr>
            <w:r>
              <w:rPr>
                <w:rFonts w:hint="eastAsia" w:ascii="Times New Roman" w:hAnsi="Times New Roman" w:eastAsia="宋体"/>
                <w:sz w:val="24"/>
                <w:szCs w:val="24"/>
                <w:highlight w:val="none"/>
              </w:rPr>
              <w:t>4.内部控制体系建设成果（内部控制手册、风险评估报告）评委横向对比后打分，0-</w:t>
            </w:r>
            <w:r>
              <w:rPr>
                <w:rFonts w:hint="eastAsia" w:ascii="Times New Roman" w:hAnsi="Times New Roman" w:eastAsia="宋体"/>
                <w:sz w:val="24"/>
                <w:szCs w:val="24"/>
                <w:highlight w:val="none"/>
                <w:lang w:val="en-US" w:eastAsia="zh-CN"/>
              </w:rPr>
              <w:t>6</w:t>
            </w:r>
            <w:r>
              <w:rPr>
                <w:rFonts w:hint="eastAsia" w:ascii="Times New Roman" w:hAnsi="Times New Roman" w:eastAsia="宋体"/>
                <w:sz w:val="24"/>
                <w:szCs w:val="24"/>
                <w:highlight w:val="none"/>
              </w:rPr>
              <w:t>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highlight w:val="none"/>
                <w:lang w:val="en-US" w:eastAsia="zh-CN"/>
              </w:rPr>
            </w:pPr>
            <w:r>
              <w:rPr>
                <w:rFonts w:hint="eastAsia" w:ascii="Times New Roman" w:hAnsi="Times New Roman" w:eastAsia="宋体" w:cs="仿宋"/>
                <w:sz w:val="24"/>
                <w:szCs w:val="24"/>
                <w:highlight w:val="none"/>
                <w:lang w:val="en-US" w:eastAsia="zh-CN"/>
              </w:rPr>
              <w:t>30</w:t>
            </w:r>
          </w:p>
        </w:tc>
      </w:tr>
      <w:tr>
        <w:tblPrEx>
          <w:tblCellMar>
            <w:top w:w="0" w:type="dxa"/>
            <w:left w:w="108" w:type="dxa"/>
            <w:bottom w:w="0" w:type="dxa"/>
            <w:right w:w="108" w:type="dxa"/>
          </w:tblCellMar>
        </w:tblPrEx>
        <w:trPr>
          <w:trHeight w:val="309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4</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rPr>
            </w:pPr>
            <w:r>
              <w:rPr>
                <w:rFonts w:hint="eastAsia" w:ascii="Times New Roman" w:hAnsi="Times New Roman" w:eastAsia="宋体"/>
                <w:sz w:val="24"/>
                <w:szCs w:val="24"/>
              </w:rPr>
              <w:t>服务团队配备</w:t>
            </w:r>
          </w:p>
        </w:tc>
        <w:tc>
          <w:tcPr>
            <w:tcW w:w="7200"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宋体"/>
                <w:sz w:val="24"/>
                <w:szCs w:val="24"/>
              </w:rPr>
            </w:pPr>
            <w:r>
              <w:rPr>
                <w:rFonts w:hint="eastAsia" w:ascii="Times New Roman" w:hAnsi="Times New Roman" w:eastAsia="宋体"/>
                <w:sz w:val="24"/>
                <w:szCs w:val="24"/>
              </w:rPr>
              <w:t>供应商服务团队人员配置、资质、服务经验方面：</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1.根据供应商提供的拟参与本项目的团队中，每1名正高级会计师或相关专业正高级职称，得3分；每1名高级会计师或相关专业副高级职称，得2分；每1名会计师或相关专业中级职称的得1分，本项最高得6分；</w:t>
            </w:r>
          </w:p>
          <w:p>
            <w:pPr>
              <w:spacing w:line="360" w:lineRule="exact"/>
              <w:rPr>
                <w:rFonts w:ascii="Times New Roman" w:hAnsi="Times New Roman" w:eastAsia="宋体"/>
                <w:sz w:val="24"/>
                <w:szCs w:val="24"/>
              </w:rPr>
            </w:pPr>
            <w:r>
              <w:rPr>
                <w:rFonts w:hint="eastAsia" w:ascii="Times New Roman" w:hAnsi="Times New Roman" w:eastAsia="宋体"/>
                <w:sz w:val="24"/>
                <w:szCs w:val="24"/>
              </w:rPr>
              <w:t>2.参与本项目的团队综合实力，按相关领域专业技能、有同类型内控体系建设经验，优秀得</w:t>
            </w: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分，良好得2分，一般得1分。</w:t>
            </w:r>
          </w:p>
          <w:p>
            <w:pPr>
              <w:rPr>
                <w:rFonts w:ascii="Times New Roman" w:hAnsi="Times New Roman" w:eastAsia="宋体"/>
                <w:sz w:val="24"/>
                <w:szCs w:val="24"/>
              </w:rPr>
            </w:pPr>
            <w:r>
              <w:rPr>
                <w:rFonts w:hint="eastAsia" w:ascii="Times New Roman" w:hAnsi="Times New Roman" w:eastAsia="宋体"/>
                <w:sz w:val="24"/>
                <w:szCs w:val="24"/>
              </w:rPr>
              <w:t>（须提供相关人员证明材料复印件及供应商为其缴纳的近6个月社保缴纳证明等证明文件，加盖供应商公章）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lang w:val="en-US" w:eastAsia="zh-CN"/>
              </w:rPr>
            </w:pPr>
            <w:r>
              <w:rPr>
                <w:rFonts w:hint="eastAsia" w:ascii="Times New Roman" w:hAnsi="Times New Roman" w:eastAsia="宋体" w:cs="仿宋"/>
                <w:sz w:val="24"/>
                <w:szCs w:val="24"/>
                <w:lang w:val="en-US" w:eastAsia="zh-CN"/>
              </w:rPr>
              <w:t>10</w:t>
            </w:r>
          </w:p>
        </w:tc>
      </w:tr>
      <w:tr>
        <w:tblPrEx>
          <w:tblCellMar>
            <w:top w:w="0" w:type="dxa"/>
            <w:left w:w="108" w:type="dxa"/>
            <w:bottom w:w="0" w:type="dxa"/>
            <w:right w:w="108" w:type="dxa"/>
          </w:tblCellMar>
        </w:tblPrEx>
        <w:trPr>
          <w:trHeight w:val="296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color w:val="000000" w:themeColor="text1"/>
                <w:sz w:val="24"/>
                <w:szCs w:val="24"/>
              </w:rPr>
            </w:pPr>
            <w:r>
              <w:rPr>
                <w:rFonts w:hint="eastAsia" w:ascii="Times New Roman" w:hAnsi="Times New Roman" w:eastAsia="宋体" w:cs="仿宋"/>
                <w:color w:val="000000" w:themeColor="text1"/>
                <w:sz w:val="24"/>
                <w:szCs w:val="24"/>
              </w:rPr>
              <w:t>5</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rPr>
            </w:pPr>
            <w:r>
              <w:rPr>
                <w:rFonts w:hint="eastAsia" w:ascii="Times New Roman" w:hAnsi="Times New Roman" w:eastAsia="宋体"/>
                <w:sz w:val="24"/>
                <w:szCs w:val="24"/>
              </w:rPr>
              <w:t>售后服务方案</w:t>
            </w:r>
          </w:p>
        </w:tc>
        <w:tc>
          <w:tcPr>
            <w:tcW w:w="7200" w:type="dxa"/>
            <w:tcBorders>
              <w:top w:val="single" w:color="auto" w:sz="4" w:space="0"/>
              <w:left w:val="nil"/>
              <w:bottom w:val="single" w:color="auto" w:sz="4" w:space="0"/>
              <w:right w:val="single" w:color="auto" w:sz="4" w:space="0"/>
            </w:tcBorders>
            <w:vAlign w:val="center"/>
          </w:tcPr>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 xml:space="preserve">售后服务流程非常规范、可操作性强，售后服务质量控制方案详细、合理，且服务响应时间在30分钟内，得6-8分； </w:t>
            </w:r>
          </w:p>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售后服务流程较规范、可操作性较强，售后服务质量控制方案较详细、合理，且服务响应时间超过30分钟但在1小时内，得3-5分；</w:t>
            </w:r>
          </w:p>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售后服务流程不规范，可操作性较弱，售后服务质量控制方案简单、基本合理，且服务响应时间超过1小时，得1-2分；</w:t>
            </w:r>
          </w:p>
          <w:p>
            <w:pPr>
              <w:rPr>
                <w:rFonts w:ascii="Times New Roman" w:hAnsi="Times New Roman" w:eastAsia="宋体"/>
                <w:sz w:val="24"/>
                <w:szCs w:val="24"/>
              </w:rPr>
            </w:pPr>
            <w:r>
              <w:rPr>
                <w:rFonts w:hint="eastAsia" w:ascii="Times New Roman" w:hAnsi="Times New Roman" w:eastAsia="宋体"/>
                <w:sz w:val="24"/>
                <w:szCs w:val="24"/>
              </w:rPr>
              <w:t>未提供售后服务方案得0分。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8</w:t>
            </w:r>
          </w:p>
        </w:tc>
      </w:tr>
      <w:tr>
        <w:tblPrEx>
          <w:tblCellMar>
            <w:top w:w="0" w:type="dxa"/>
            <w:left w:w="108" w:type="dxa"/>
            <w:bottom w:w="0" w:type="dxa"/>
            <w:right w:w="108" w:type="dxa"/>
          </w:tblCellMar>
        </w:tblPrEx>
        <w:trPr>
          <w:trHeight w:val="550" w:hRule="atLeast"/>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合计</w:t>
            </w:r>
          </w:p>
        </w:tc>
        <w:tc>
          <w:tcPr>
            <w:tcW w:w="674" w:type="dxa"/>
            <w:tcBorders>
              <w:top w:val="single" w:color="auto" w:sz="4" w:space="0"/>
              <w:left w:val="nil"/>
              <w:bottom w:val="single" w:color="auto" w:sz="4" w:space="0"/>
              <w:right w:val="single" w:color="auto" w:sz="4" w:space="0"/>
            </w:tcBorders>
            <w:vAlign w:val="center"/>
          </w:tcPr>
          <w:p>
            <w:pPr>
              <w:widowControl/>
              <w:ind w:firstLine="120" w:firstLineChars="50"/>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80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（二）报价分：（20分）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w:t>
      </w:r>
      <w:r>
        <w:rPr>
          <w:rFonts w:hint="eastAsia" w:ascii="Times New Roman" w:hAnsi="Times New Roman" w:eastAsia="宋体" w:cs="宋体"/>
          <w:b/>
          <w:sz w:val="24"/>
          <w:szCs w:val="24"/>
          <w:lang w:val="en-US" w:eastAsia="zh-CN"/>
        </w:rPr>
        <w:t>25</w:t>
      </w:r>
      <w:r>
        <w:rPr>
          <w:rFonts w:hint="eastAsia" w:ascii="Times New Roman" w:hAnsi="Times New Roman" w:eastAsia="宋体" w:cs="宋体"/>
          <w:b/>
          <w:sz w:val="24"/>
          <w:szCs w:val="24"/>
        </w:rPr>
        <w:t>万元，超过限价作无效标处理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 =（磋商基准价/最后磋商报价）×20%×100</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（三）政府采购政策功能落实</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1、小微型企业价格扣除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（1）本项目对小型和微型企业产品给予10%的扣除价格，用扣除后的价格参与评审。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（2）供应商需按照采购文件的要求提供相应的《小型、微型企业声明函》。</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（3）企业标准请参照《关于印发中小企业划型标准规定的通知》（工信部联企业[2011]300号）文件规定自行填写。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2、残疾人福利单位价格扣除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（1）本项目对残疾人福利性单位视同小型、微型企业，给予10%的价格扣除，用扣除后的价格参与评审。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（2）残疾人福利单位需按照采购文件的要求提供《残疾人福利性单位声明函》。</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（3）残疾人福利单位标准请参照《关于促进残疾人就业政府采购政策的通知》（财库〔2017〕141号）。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3、监狱和戒毒企业价格扣除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（1）本项目对监狱和戒毒企业（简称监狱企业）视同小型、微型企业，给予10%的价格扣除，用扣除后的价格参与评审。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（2）监狱企业参加政府采购活动时，需提供由省级以上监狱管理局、戒毒管理局(含新疆生产建设兵团)出具的属于监狱企业的证明文件（无格式，请自拟）。供应商如不提供上述证明文件，价格将不做相应扣除。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（3）监狱企业标准请参照《关于政府采购支持监狱企业发展有关问题的通知》（财库[2014]68号）。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4、残疾人福利单位、监狱企业属于小型、微型企业的，不重复享受政策。</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5、根据《江苏省政府采购信用管理暂行办法》的规定，对有失信行为的供应商将根据信用评价结果按规定予以扣分或价格加成。</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成交商按市场监督管理局的相关要求进行施工，负责向相关部门报建、报验，取得特检部门验收合格后交付医院投入使用。所有电梯技术资料移交院方，并办移交手续。</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pStyle w:val="35"/>
        <w:numPr>
          <w:ilvl w:val="0"/>
          <w:numId w:val="1"/>
        </w:numPr>
        <w:spacing w:line="360" w:lineRule="auto"/>
        <w:ind w:firstLineChars="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资格审查文件（单独密封）：</w:t>
      </w:r>
    </w:p>
    <w:p>
      <w:pPr>
        <w:snapToGrid w:val="0"/>
        <w:spacing w:line="360" w:lineRule="auto"/>
        <w:ind w:firstLine="600" w:firstLineChars="250"/>
        <w:rPr>
          <w:rFonts w:ascii="Times New Roman" w:hAnsi="Times New Roman" w:eastAsia="宋体"/>
          <w:sz w:val="24"/>
          <w:szCs w:val="24"/>
        </w:rPr>
      </w:pPr>
      <w:r>
        <w:rPr>
          <w:rFonts w:ascii="Times New Roman" w:hAnsi="Times New Roman" w:eastAsia="宋体" w:cs="Times New Roman"/>
          <w:sz w:val="24"/>
          <w:szCs w:val="24"/>
        </w:rPr>
        <w:t>1、供应商为具有内部控制、风险管理咨询服务能力的独立法人或其他组织，有能力提供本次采购项目所要求的服务，提供营业执照副本复印件或三证合一的营业执照副本复印件。</w:t>
      </w:r>
    </w:p>
    <w:p>
      <w:pPr>
        <w:snapToGrid w:val="0"/>
        <w:spacing w:line="360" w:lineRule="auto"/>
        <w:ind w:firstLine="480" w:firstLineChars="200"/>
        <w:rPr>
          <w:rFonts w:ascii="Times New Roman" w:hAnsi="Times New Roman" w:eastAsia="宋体"/>
          <w:sz w:val="24"/>
          <w:szCs w:val="24"/>
        </w:rPr>
      </w:pPr>
      <w:r>
        <w:rPr>
          <w:rFonts w:ascii="Times New Roman" w:hAnsi="Times New Roman" w:eastAsia="宋体" w:cs="Times New Roman"/>
          <w:sz w:val="24"/>
          <w:szCs w:val="24"/>
        </w:rPr>
        <w:t>2、供应商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被授权人与供应商签订的有效劳动合同复印件。</w:t>
      </w:r>
    </w:p>
    <w:p>
      <w:pPr>
        <w:snapToGrid w:val="0"/>
        <w:spacing w:line="360" w:lineRule="auto"/>
        <w:ind w:firstLine="360" w:firstLineChars="150"/>
        <w:rPr>
          <w:rFonts w:ascii="Times New Roman" w:hAnsi="Times New Roman" w:eastAsia="宋体"/>
          <w:sz w:val="24"/>
          <w:szCs w:val="24"/>
        </w:rPr>
      </w:pPr>
      <w:r>
        <w:rPr>
          <w:rFonts w:ascii="Times New Roman" w:hAnsi="Times New Roman" w:eastAsia="宋体" w:cs="Times New Roman"/>
          <w:sz w:val="24"/>
          <w:szCs w:val="24"/>
        </w:rPr>
        <w:t xml:space="preserve"> 3、拟派本项目负责人具有注册会计师资格证书，熟悉医院管理及行政事业单位内部控制基本规范，熟悉国家、省、市对医院经营管理和内部控制相关的规定，有过类似工作经验。提供资格证书及相关工作经验证明材料的复印件或扫描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5、投标供应商须提供诚信承诺书（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w:t>
      </w:r>
      <w:r>
        <w:rPr>
          <w:rFonts w:ascii="Times New Roman" w:hAnsi="Times New Roman" w:eastAsia="宋体" w:cs="宋体"/>
          <w:sz w:val="24"/>
          <w:szCs w:val="24"/>
        </w:rPr>
        <w:t>、</w:t>
      </w:r>
      <w:r>
        <w:rPr>
          <w:rFonts w:hint="eastAsia" w:ascii="Times New Roman" w:hAnsi="Times New Roman" w:eastAsia="宋体" w:cs="宋体"/>
          <w:sz w:val="24"/>
          <w:szCs w:val="24"/>
        </w:rPr>
        <w:t>中小企业声明函</w:t>
      </w:r>
      <w:r>
        <w:rPr>
          <w:rFonts w:ascii="Times New Roman" w:hAnsi="Times New Roman" w:eastAsia="宋体" w:cs="宋体"/>
          <w:sz w:val="24"/>
          <w:szCs w:val="24"/>
        </w:rPr>
        <w:t>（若有）。（格式见附件）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w:t>
      </w:r>
      <w:r>
        <w:rPr>
          <w:rFonts w:ascii="Times New Roman" w:hAnsi="Times New Roman" w:eastAsia="宋体" w:cs="宋体"/>
          <w:sz w:val="24"/>
          <w:szCs w:val="24"/>
        </w:rPr>
        <w:t>、</w:t>
      </w:r>
      <w:r>
        <w:rPr>
          <w:rFonts w:hint="eastAsia" w:ascii="Times New Roman" w:hAnsi="Times New Roman" w:eastAsia="宋体" w:cs="宋体"/>
          <w:sz w:val="24"/>
          <w:szCs w:val="24"/>
        </w:rPr>
        <w:t>残疾人福利性单位声明函（如有）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6、属于监狱企业的证明文件（如有）</w:t>
      </w:r>
      <w:r>
        <w:rPr>
          <w:rFonts w:ascii="Times New Roman" w:hAnsi="Times New Roman" w:eastAsia="宋体" w:cs="宋体"/>
          <w:sz w:val="24"/>
          <w:szCs w:val="24"/>
        </w:rPr>
        <w:t>（格式见附件）</w:t>
      </w:r>
    </w:p>
    <w:p>
      <w:pPr>
        <w:pStyle w:val="2"/>
        <w:rPr>
          <w:rFonts w:ascii="Times New Roman" w:hAnsi="Times New Roman" w:eastAsia="宋体"/>
        </w:rPr>
      </w:pP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南通市第三人民医院内部控制体系建设服务项目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南通市第三人民医院内部控制体系建设服务项目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22"/>
        <w:gridCol w:w="2337"/>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22"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服务名称</w:t>
            </w:r>
          </w:p>
        </w:tc>
        <w:tc>
          <w:tcPr>
            <w:tcW w:w="2337"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南通市第三人民医院内部控制体系建设服务项目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南通市第三人民医院内部控制体系建设服务项目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2"/>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tbl>
      <w:tblPr>
        <w:tblStyle w:val="18"/>
        <w:tblW w:w="8647" w:type="dxa"/>
        <w:tblInd w:w="108" w:type="dxa"/>
        <w:tblLayout w:type="autofit"/>
        <w:tblCellMar>
          <w:top w:w="0" w:type="dxa"/>
          <w:left w:w="108" w:type="dxa"/>
          <w:bottom w:w="0" w:type="dxa"/>
          <w:right w:w="108" w:type="dxa"/>
        </w:tblCellMar>
      </w:tblPr>
      <w:tblGrid>
        <w:gridCol w:w="705"/>
        <w:gridCol w:w="2099"/>
        <w:gridCol w:w="882"/>
        <w:gridCol w:w="709"/>
        <w:gridCol w:w="1275"/>
        <w:gridCol w:w="1701"/>
        <w:gridCol w:w="1276"/>
      </w:tblGrid>
      <w:tr>
        <w:tblPrEx>
          <w:tblCellMar>
            <w:top w:w="0" w:type="dxa"/>
            <w:left w:w="108" w:type="dxa"/>
            <w:bottom w:w="0" w:type="dxa"/>
            <w:right w:w="108" w:type="dxa"/>
          </w:tblCellMar>
        </w:tblPrEx>
        <w:trPr>
          <w:trHeight w:val="511"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序号</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名称</w:t>
            </w:r>
          </w:p>
        </w:tc>
        <w:tc>
          <w:tcPr>
            <w:tcW w:w="8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数量</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单位</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综合单价</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综合合价</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bl>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9"/>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pStyle w:val="2"/>
        <w:rPr>
          <w:rFonts w:ascii="Times New Roman" w:hAnsi="Times New Roman" w:eastAsia="宋体"/>
        </w:rPr>
      </w:pPr>
      <w:r>
        <w:rPr>
          <w:rFonts w:ascii="Times New Roman" w:hAnsi="Times New Roman" w:eastAsia="宋体"/>
        </w:rPr>
        <w:br w:type="page"/>
      </w:r>
    </w:p>
    <w:p>
      <w:pPr>
        <w:pStyle w:val="36"/>
        <w:spacing w:line="360" w:lineRule="auto"/>
        <w:jc w:val="center"/>
        <w:rPr>
          <w:rFonts w:ascii="Times New Roman" w:hAnsi="Times New Roman" w:cs="宋体"/>
          <w:b/>
          <w:color w:val="auto"/>
        </w:rPr>
      </w:pPr>
      <w:r>
        <w:rPr>
          <w:rStyle w:val="29"/>
          <w:rFonts w:hint="eastAsia"/>
          <w:b/>
          <w:color w:val="auto"/>
          <w:sz w:val="28"/>
          <w:szCs w:val="28"/>
        </w:rPr>
        <w:t>9、中小企业声明函</w:t>
      </w:r>
    </w:p>
    <w:p>
      <w:pPr>
        <w:widowControl/>
        <w:spacing w:line="360" w:lineRule="auto"/>
        <w:jc w:val="center"/>
        <w:rPr>
          <w:rFonts w:ascii="Times New Roman" w:hAnsi="Times New Roman" w:eastAsia="宋体" w:cs="宋体"/>
          <w:b/>
          <w:kern w:val="0"/>
          <w:sz w:val="28"/>
        </w:rPr>
      </w:pPr>
      <w:r>
        <w:rPr>
          <w:rFonts w:hint="eastAsia" w:ascii="Times New Roman" w:hAnsi="Times New Roman" w:eastAsia="宋体" w:cs="宋体"/>
          <w:b/>
          <w:kern w:val="0"/>
          <w:sz w:val="24"/>
        </w:rPr>
        <w:t>（如有）</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本公司（联合体）郑重声明，根据《关于进一步加大政府采购支持中小企业力度的通知》（苏财购〔2022〕45 号）的规定，本公司（联合体）参加</w:t>
      </w:r>
      <w:r>
        <w:rPr>
          <w:rFonts w:hint="eastAsia" w:ascii="Times New Roman" w:hAnsi="Times New Roman" w:eastAsia="宋体" w:cs="宋体"/>
          <w:kern w:val="0"/>
          <w:sz w:val="24"/>
          <w:u w:val="single"/>
        </w:rPr>
        <w:t>（单位名称）</w:t>
      </w:r>
      <w:r>
        <w:rPr>
          <w:rFonts w:hint="eastAsia" w:ascii="Times New Roman" w:hAnsi="Times New Roman" w:eastAsia="宋体" w:cs="宋体"/>
          <w:kern w:val="0"/>
          <w:sz w:val="24"/>
        </w:rPr>
        <w:t>的</w:t>
      </w:r>
      <w:r>
        <w:rPr>
          <w:rFonts w:hint="eastAsia" w:ascii="Times New Roman" w:hAnsi="Times New Roman" w:eastAsia="宋体" w:cs="宋体"/>
          <w:kern w:val="0"/>
          <w:sz w:val="24"/>
          <w:u w:val="single"/>
        </w:rPr>
        <w:t>（项目名称）</w:t>
      </w:r>
      <w:r>
        <w:rPr>
          <w:rFonts w:hint="eastAsia" w:ascii="Times New Roman" w:hAnsi="Times New Roman" w:eastAsia="宋体" w:cs="宋体"/>
          <w:kern w:val="0"/>
          <w:sz w:val="24"/>
        </w:rPr>
        <w:t>采购活动，工程的施工单位全部为符合政策要求的中小企业。相关企业（含联合体中的中小企业、签订分包意向协议的中小企业）的具体情况如下：</w:t>
      </w:r>
    </w:p>
    <w:p>
      <w:pPr>
        <w:autoSpaceDE w:val="0"/>
        <w:autoSpaceDN w:val="0"/>
        <w:spacing w:line="360" w:lineRule="auto"/>
        <w:ind w:firstLine="480" w:firstLineChars="200"/>
        <w:rPr>
          <w:rFonts w:ascii="Times New Roman" w:hAnsi="Times New Roman" w:eastAsia="宋体"/>
        </w:rPr>
      </w:pPr>
      <w:r>
        <w:rPr>
          <w:rFonts w:hint="eastAsia" w:ascii="Times New Roman" w:hAnsi="Times New Roman" w:eastAsia="宋体" w:cs="宋体"/>
          <w:kern w:val="0"/>
          <w:sz w:val="24"/>
        </w:rPr>
        <w:t xml:space="preserve">1、 </w:t>
      </w:r>
      <w:r>
        <w:rPr>
          <w:rFonts w:hint="eastAsia" w:ascii="Times New Roman" w:hAnsi="Times New Roman" w:eastAsia="宋体" w:cs="宋体"/>
          <w:kern w:val="0"/>
          <w:sz w:val="24"/>
          <w:u w:val="single"/>
        </w:rPr>
        <w:t xml:space="preserve">（标的名称） </w:t>
      </w:r>
      <w:r>
        <w:rPr>
          <w:rFonts w:hint="eastAsia" w:ascii="Times New Roman" w:hAnsi="Times New Roman" w:eastAsia="宋体" w:cs="宋体"/>
          <w:kern w:val="0"/>
          <w:sz w:val="24"/>
        </w:rPr>
        <w:t>，属于</w:t>
      </w:r>
      <w:r>
        <w:rPr>
          <w:rFonts w:hint="eastAsia" w:ascii="Times New Roman" w:hAnsi="Times New Roman" w:eastAsia="宋体" w:cs="宋体"/>
          <w:kern w:val="0"/>
          <w:sz w:val="24"/>
          <w:u w:val="single"/>
        </w:rPr>
        <w:t>（采购文件中明确的所属行业）</w:t>
      </w:r>
      <w:r>
        <w:rPr>
          <w:rFonts w:hint="eastAsia" w:ascii="Times New Roman" w:hAnsi="Times New Roman" w:eastAsia="宋体" w:cs="宋体"/>
          <w:kern w:val="0"/>
          <w:sz w:val="24"/>
        </w:rPr>
        <w:t>； 承建（承接）企业为</w:t>
      </w:r>
      <w:r>
        <w:rPr>
          <w:rFonts w:hint="eastAsia" w:ascii="Times New Roman" w:hAnsi="Times New Roman" w:eastAsia="宋体" w:cs="宋体"/>
          <w:kern w:val="0"/>
          <w:sz w:val="24"/>
          <w:u w:val="single"/>
        </w:rPr>
        <w:t>（企业名称）</w:t>
      </w:r>
      <w:r>
        <w:rPr>
          <w:rFonts w:hint="eastAsia" w:ascii="Times New Roman" w:hAnsi="Times New Roman" w:eastAsia="宋体" w:cs="宋体"/>
          <w:kern w:val="0"/>
          <w:sz w:val="24"/>
        </w:rPr>
        <w:t>，从业人员人，营业收入为万元，资产总额为万元，属于</w:t>
      </w:r>
      <w:r>
        <w:rPr>
          <w:rFonts w:hint="eastAsia" w:ascii="Times New Roman" w:hAnsi="Times New Roman" w:eastAsia="宋体" w:cs="宋体"/>
          <w:kern w:val="0"/>
          <w:sz w:val="24"/>
          <w:u w:val="single"/>
        </w:rPr>
        <w:t>（中型企业、小型企业、微型企业）</w:t>
      </w:r>
      <w:r>
        <w:rPr>
          <w:rFonts w:hint="eastAsia" w:ascii="Times New Roman" w:hAnsi="Times New Roman" w:eastAsia="宋体" w:cs="宋体"/>
          <w:kern w:val="0"/>
          <w:sz w:val="24"/>
        </w:rPr>
        <w:t>；</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 xml:space="preserve">2. </w:t>
      </w:r>
      <w:r>
        <w:rPr>
          <w:rFonts w:hint="eastAsia" w:ascii="Times New Roman" w:hAnsi="Times New Roman" w:eastAsia="宋体" w:cs="宋体"/>
          <w:kern w:val="0"/>
          <w:sz w:val="24"/>
          <w:u w:val="single"/>
        </w:rPr>
        <w:t>（标的名称）</w:t>
      </w:r>
      <w:r>
        <w:rPr>
          <w:rFonts w:hint="eastAsia" w:ascii="Times New Roman" w:hAnsi="Times New Roman" w:eastAsia="宋体" w:cs="宋体"/>
          <w:kern w:val="0"/>
          <w:sz w:val="24"/>
        </w:rPr>
        <w:t xml:space="preserve"> ，属于</w:t>
      </w:r>
      <w:r>
        <w:rPr>
          <w:rFonts w:hint="eastAsia" w:ascii="Times New Roman" w:hAnsi="Times New Roman" w:eastAsia="宋体" w:cs="宋体"/>
          <w:kern w:val="0"/>
          <w:sz w:val="24"/>
          <w:u w:val="single"/>
        </w:rPr>
        <w:t>（采购文件中明确的所属行业）</w:t>
      </w:r>
      <w:r>
        <w:rPr>
          <w:rFonts w:hint="eastAsia" w:ascii="Times New Roman" w:hAnsi="Times New Roman" w:eastAsia="宋体" w:cs="宋体"/>
          <w:kern w:val="0"/>
          <w:sz w:val="24"/>
        </w:rPr>
        <w:t>；承建（承接）企业为</w:t>
      </w:r>
      <w:r>
        <w:rPr>
          <w:rFonts w:hint="eastAsia" w:ascii="Times New Roman" w:hAnsi="Times New Roman" w:eastAsia="宋体" w:cs="宋体"/>
          <w:kern w:val="0"/>
          <w:sz w:val="24"/>
          <w:u w:val="single"/>
        </w:rPr>
        <w:t>（企业名称）</w:t>
      </w:r>
      <w:r>
        <w:rPr>
          <w:rFonts w:hint="eastAsia" w:ascii="Times New Roman" w:hAnsi="Times New Roman" w:eastAsia="宋体" w:cs="宋体"/>
          <w:kern w:val="0"/>
          <w:sz w:val="24"/>
        </w:rPr>
        <w:t>，从业人员人，营业收入为万元，资产总额为万元，属于</w:t>
      </w:r>
      <w:r>
        <w:rPr>
          <w:rFonts w:hint="eastAsia" w:ascii="Times New Roman" w:hAnsi="Times New Roman" w:eastAsia="宋体" w:cs="宋体"/>
          <w:kern w:val="0"/>
          <w:sz w:val="24"/>
          <w:u w:val="single"/>
        </w:rPr>
        <w:t>（中型企业、小型企业、微型企业）</w:t>
      </w:r>
      <w:r>
        <w:rPr>
          <w:rFonts w:hint="eastAsia" w:ascii="Times New Roman" w:hAnsi="Times New Roman" w:eastAsia="宋体" w:cs="宋体"/>
          <w:kern w:val="0"/>
          <w:sz w:val="24"/>
        </w:rPr>
        <w:t xml:space="preserve">； </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本企业对上述声明内容的真实性负责。如有虚假，将依法承担相应责任。</w:t>
      </w:r>
    </w:p>
    <w:p>
      <w:pPr>
        <w:autoSpaceDE w:val="0"/>
        <w:autoSpaceDN w:val="0"/>
        <w:spacing w:line="360" w:lineRule="auto"/>
        <w:ind w:firstLine="480" w:firstLineChars="200"/>
        <w:rPr>
          <w:rFonts w:ascii="Times New Roman" w:hAnsi="Times New Roman" w:eastAsia="宋体" w:cs="宋体"/>
          <w:kern w:val="0"/>
          <w:sz w:val="24"/>
        </w:rPr>
      </w:pPr>
    </w:p>
    <w:p>
      <w:pPr>
        <w:autoSpaceDE w:val="0"/>
        <w:autoSpaceDN w:val="0"/>
        <w:spacing w:line="360" w:lineRule="auto"/>
        <w:ind w:firstLine="5280" w:firstLineChars="2200"/>
        <w:rPr>
          <w:rFonts w:ascii="Times New Roman" w:hAnsi="Times New Roman" w:eastAsia="宋体" w:cs="宋体"/>
          <w:kern w:val="0"/>
          <w:sz w:val="24"/>
        </w:rPr>
      </w:pPr>
      <w:r>
        <w:rPr>
          <w:rFonts w:hint="eastAsia" w:ascii="Times New Roman" w:hAnsi="Times New Roman" w:eastAsia="宋体" w:cs="宋体"/>
          <w:kern w:val="0"/>
          <w:sz w:val="24"/>
        </w:rPr>
        <w:t xml:space="preserve">企业名称（盖章）： </w:t>
      </w:r>
    </w:p>
    <w:p>
      <w:pPr>
        <w:autoSpaceDE w:val="0"/>
        <w:autoSpaceDN w:val="0"/>
        <w:spacing w:line="360" w:lineRule="auto"/>
        <w:ind w:firstLine="6720" w:firstLineChars="2800"/>
        <w:rPr>
          <w:rFonts w:ascii="Times New Roman" w:hAnsi="Times New Roman" w:eastAsia="宋体"/>
        </w:rPr>
      </w:pPr>
      <w:r>
        <w:rPr>
          <w:rFonts w:hint="eastAsia" w:ascii="Times New Roman" w:hAnsi="Times New Roman" w:eastAsia="宋体" w:cs="宋体"/>
          <w:kern w:val="0"/>
          <w:sz w:val="24"/>
        </w:rPr>
        <w:t>日 期：</w:t>
      </w:r>
    </w:p>
    <w:p>
      <w:pPr>
        <w:snapToGrid w:val="0"/>
        <w:spacing w:line="360" w:lineRule="auto"/>
        <w:ind w:firstLine="494" w:firstLineChars="206"/>
        <w:rPr>
          <w:rFonts w:ascii="Times New Roman" w:hAnsi="Times New Roman" w:eastAsia="宋体"/>
          <w:sz w:val="24"/>
        </w:rPr>
      </w:pPr>
      <w:r>
        <w:rPr>
          <w:rFonts w:ascii="Times New Roman" w:hAnsi="Times New Roman" w:eastAsia="宋体"/>
          <w:sz w:val="24"/>
        </w:rPr>
        <w:t>注：</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（1）</w:t>
      </w:r>
      <w:r>
        <w:rPr>
          <w:rFonts w:ascii="Times New Roman" w:hAnsi="Times New Roman" w:eastAsia="宋体"/>
          <w:sz w:val="24"/>
        </w:rPr>
        <w:t>中小企业划分</w:t>
      </w:r>
      <w:r>
        <w:rPr>
          <w:rFonts w:ascii="Times New Roman" w:hAnsi="Times New Roman" w:eastAsia="宋体" w:cs="宋体"/>
          <w:kern w:val="0"/>
          <w:sz w:val="24"/>
        </w:rPr>
        <w:t>标准</w:t>
      </w:r>
      <w:r>
        <w:rPr>
          <w:rFonts w:ascii="Times New Roman" w:hAnsi="Times New Roman" w:eastAsia="宋体"/>
          <w:sz w:val="24"/>
        </w:rPr>
        <w:t>以“工信部联企业〔2011〕300号通知中的《中小企业划型标准</w:t>
      </w:r>
      <w:r>
        <w:rPr>
          <w:rFonts w:hint="eastAsia" w:ascii="Times New Roman" w:hAnsi="Times New Roman" w:eastAsia="宋体"/>
          <w:sz w:val="24"/>
        </w:rPr>
        <w:t>规定》为准。</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（2）原件密封在“商务报价响应文件”包内提供。未提供则不能按文件享受</w:t>
      </w:r>
      <w:r>
        <w:rPr>
          <w:rFonts w:hint="eastAsia" w:ascii="Times New Roman" w:hAnsi="Times New Roman" w:eastAsia="宋体"/>
          <w:sz w:val="24"/>
          <w:lang w:val="en-US" w:eastAsia="zh-CN"/>
        </w:rPr>
        <w:t>10</w:t>
      </w:r>
      <w:r>
        <w:rPr>
          <w:rFonts w:hint="eastAsia" w:ascii="Times New Roman" w:hAnsi="Times New Roman" w:eastAsia="宋体"/>
          <w:sz w:val="24"/>
        </w:rPr>
        <w:t>%的价格扣除。</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（3）从业人员、营业收入、资产总额填报上一年度数据，无上一年度数据的新成立企业可不填报。</w:t>
      </w:r>
    </w:p>
    <w:p>
      <w:pPr>
        <w:pStyle w:val="36"/>
        <w:spacing w:line="360" w:lineRule="auto"/>
        <w:jc w:val="center"/>
        <w:rPr>
          <w:rFonts w:ascii="Times New Roman" w:hAnsi="Times New Roman" w:cs="宋体"/>
          <w:b/>
          <w:color w:val="auto"/>
          <w:sz w:val="23"/>
          <w:szCs w:val="23"/>
        </w:rPr>
      </w:pPr>
      <w:r>
        <w:rPr>
          <w:rFonts w:ascii="Times New Roman" w:hAnsi="Times New Roman" w:cs="宋体"/>
          <w:b/>
          <w:color w:val="auto"/>
          <w:sz w:val="28"/>
        </w:rPr>
        <w:br w:type="page"/>
      </w:r>
      <w:r>
        <w:rPr>
          <w:rStyle w:val="29"/>
          <w:rFonts w:hint="eastAsia"/>
          <w:b/>
          <w:color w:val="auto"/>
          <w:sz w:val="28"/>
          <w:szCs w:val="28"/>
        </w:rPr>
        <w:t>10、残疾人福利性单位声明函（如有）</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本单位郑重声明，根据</w:t>
      </w:r>
      <w:r>
        <w:rPr>
          <w:rFonts w:hint="eastAsia" w:ascii="Times New Roman" w:hAnsi="Times New Roman" w:eastAsia="宋体" w:cs="宋体"/>
          <w:kern w:val="0"/>
          <w:sz w:val="24"/>
        </w:rPr>
        <w:t>《财政部民政部中国残疾人联合会关于促进残疾人就业政府采购政策的通知》</w:t>
      </w:r>
      <w:r>
        <w:rPr>
          <w:rFonts w:hint="eastAsia" w:ascii="Times New Roman" w:hAnsi="Times New Roman" w:eastAsia="宋体"/>
          <w:sz w:val="24"/>
        </w:rPr>
        <w:t>（财库〔</w:t>
      </w:r>
      <w:r>
        <w:rPr>
          <w:rFonts w:ascii="Times New Roman" w:hAnsi="Times New Roman" w:eastAsia="宋体"/>
          <w:sz w:val="24"/>
        </w:rPr>
        <w:t>2017</w:t>
      </w:r>
      <w:r>
        <w:rPr>
          <w:rFonts w:hint="eastAsia" w:ascii="Times New Roman" w:hAnsi="Times New Roman" w:eastAsia="宋体"/>
          <w:sz w:val="24"/>
        </w:rPr>
        <w:t>〕</w:t>
      </w:r>
      <w:r>
        <w:rPr>
          <w:rFonts w:ascii="Times New Roman" w:hAnsi="Times New Roman" w:eastAsia="宋体"/>
          <w:sz w:val="24"/>
        </w:rPr>
        <w:t>141</w:t>
      </w:r>
      <w:r>
        <w:rPr>
          <w:rFonts w:hint="eastAsia" w:ascii="Times New Roman" w:hAnsi="Times New Roman" w:eastAsia="宋体"/>
          <w:sz w:val="24"/>
        </w:rPr>
        <w:t>号）的规定，本单位为符合条件的残疾人福利性单位，且本单位参加</w:t>
      </w:r>
      <w:r>
        <w:rPr>
          <w:rFonts w:ascii="Times New Roman" w:hAnsi="Times New Roman" w:eastAsia="宋体"/>
          <w:sz w:val="24"/>
        </w:rPr>
        <w:t>______</w:t>
      </w:r>
      <w:r>
        <w:rPr>
          <w:rFonts w:hint="eastAsia" w:ascii="Times New Roman" w:hAnsi="Times New Roman" w:eastAsia="宋体"/>
          <w:sz w:val="24"/>
        </w:rPr>
        <w:t>单位的</w:t>
      </w:r>
      <w:r>
        <w:rPr>
          <w:rFonts w:ascii="Times New Roman" w:hAnsi="Times New Roman" w:eastAsia="宋体"/>
          <w:sz w:val="24"/>
        </w:rPr>
        <w:t>______</w:t>
      </w:r>
      <w:r>
        <w:rPr>
          <w:rFonts w:hint="eastAsia" w:ascii="Times New Roman" w:hAnsi="Times New Roman" w:eastAsia="宋体"/>
          <w:sz w:val="24"/>
        </w:rPr>
        <w:t>项目采购活动提供本单位制造的货物（由本单位承担工程</w:t>
      </w:r>
      <w:r>
        <w:rPr>
          <w:rFonts w:ascii="Times New Roman" w:hAnsi="Times New Roman" w:eastAsia="宋体"/>
          <w:sz w:val="24"/>
        </w:rPr>
        <w:t>/</w:t>
      </w:r>
      <w:r>
        <w:rPr>
          <w:rFonts w:hint="eastAsia" w:ascii="Times New Roman" w:hAnsi="Times New Roman" w:eastAsia="宋体"/>
          <w:sz w:val="24"/>
        </w:rPr>
        <w:t>提供服务），或者提供其他残疾人福利性单位制造的货物（不包括使用非残疾人福利性单位注册商标的货物）。</w:t>
      </w:r>
      <w:r>
        <w:rPr>
          <w:rFonts w:ascii="Times New Roman" w:hAnsi="Times New Roman" w:eastAsia="宋体"/>
          <w:sz w:val="24"/>
        </w:rPr>
        <w:t xml:space="preserve"> </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本单位对上述声明的</w:t>
      </w:r>
      <w:r>
        <w:rPr>
          <w:rFonts w:hint="eastAsia" w:ascii="Times New Roman" w:hAnsi="Times New Roman" w:eastAsia="宋体" w:cs="宋体"/>
          <w:kern w:val="0"/>
          <w:sz w:val="24"/>
        </w:rPr>
        <w:t>真实性</w:t>
      </w:r>
      <w:r>
        <w:rPr>
          <w:rFonts w:hint="eastAsia" w:ascii="Times New Roman" w:hAnsi="Times New Roman" w:eastAsia="宋体"/>
          <w:sz w:val="24"/>
        </w:rPr>
        <w:t>负责。如有虚假，将依法承担相应责任。</w:t>
      </w:r>
      <w:r>
        <w:rPr>
          <w:rFonts w:ascii="Times New Roman" w:hAnsi="Times New Roman" w:eastAsia="宋体"/>
          <w:sz w:val="24"/>
        </w:rPr>
        <w:t xml:space="preserve"> </w:t>
      </w:r>
    </w:p>
    <w:p>
      <w:pPr>
        <w:autoSpaceDE w:val="0"/>
        <w:autoSpaceDN w:val="0"/>
        <w:spacing w:line="360" w:lineRule="auto"/>
        <w:ind w:firstLine="480" w:firstLineChars="200"/>
        <w:jc w:val="right"/>
        <w:rPr>
          <w:rFonts w:ascii="Times New Roman" w:hAnsi="Times New Roman" w:eastAsia="宋体" w:cs="宋体"/>
          <w:kern w:val="0"/>
          <w:sz w:val="24"/>
        </w:rPr>
      </w:pPr>
    </w:p>
    <w:p>
      <w:pPr>
        <w:autoSpaceDE w:val="0"/>
        <w:autoSpaceDN w:val="0"/>
        <w:spacing w:line="360" w:lineRule="auto"/>
        <w:ind w:firstLine="480" w:firstLineChars="200"/>
        <w:jc w:val="right"/>
        <w:rPr>
          <w:rFonts w:ascii="Times New Roman" w:hAnsi="Times New Roman" w:eastAsia="宋体" w:cs="宋体"/>
          <w:kern w:val="0"/>
          <w:sz w:val="24"/>
        </w:rPr>
      </w:pPr>
      <w:r>
        <w:rPr>
          <w:rFonts w:hint="eastAsia" w:ascii="Times New Roman" w:hAnsi="Times New Roman" w:eastAsia="宋体" w:cs="宋体"/>
          <w:kern w:val="0"/>
          <w:sz w:val="24"/>
        </w:rPr>
        <w:t>单位名称（盖章）：</w:t>
      </w:r>
      <w:r>
        <w:rPr>
          <w:rFonts w:ascii="Times New Roman" w:hAnsi="Times New Roman" w:eastAsia="宋体" w:cs="宋体"/>
          <w:kern w:val="0"/>
          <w:sz w:val="24"/>
        </w:rPr>
        <w:t xml:space="preserve"> </w:t>
      </w:r>
    </w:p>
    <w:p>
      <w:pPr>
        <w:autoSpaceDE w:val="0"/>
        <w:autoSpaceDN w:val="0"/>
        <w:spacing w:line="360" w:lineRule="auto"/>
        <w:ind w:firstLine="480" w:firstLineChars="200"/>
        <w:jc w:val="right"/>
        <w:rPr>
          <w:rFonts w:ascii="Times New Roman" w:hAnsi="Times New Roman" w:eastAsia="宋体" w:cs="宋体"/>
          <w:kern w:val="0"/>
          <w:sz w:val="24"/>
        </w:rPr>
      </w:pPr>
      <w:r>
        <w:rPr>
          <w:rFonts w:hint="eastAsia" w:ascii="Times New Roman" w:hAnsi="Times New Roman" w:eastAsia="宋体" w:cs="宋体"/>
          <w:kern w:val="0"/>
          <w:sz w:val="24"/>
        </w:rPr>
        <w:t>日</w:t>
      </w:r>
      <w:r>
        <w:rPr>
          <w:rFonts w:ascii="Times New Roman" w:hAnsi="Times New Roman" w:eastAsia="宋体" w:cs="宋体"/>
          <w:kern w:val="0"/>
          <w:sz w:val="24"/>
        </w:rPr>
        <w:t xml:space="preserve"> </w:t>
      </w:r>
      <w:r>
        <w:rPr>
          <w:rFonts w:hint="eastAsia" w:ascii="Times New Roman" w:hAnsi="Times New Roman" w:eastAsia="宋体" w:cs="宋体"/>
          <w:kern w:val="0"/>
          <w:sz w:val="24"/>
        </w:rPr>
        <w:t>期：</w:t>
      </w:r>
      <w:r>
        <w:rPr>
          <w:rFonts w:ascii="Times New Roman" w:hAnsi="Times New Roman" w:eastAsia="宋体" w:cs="宋体"/>
          <w:kern w:val="0"/>
          <w:sz w:val="24"/>
        </w:rPr>
        <w:t xml:space="preserve"> </w:t>
      </w:r>
    </w:p>
    <w:p>
      <w:pPr>
        <w:pStyle w:val="36"/>
        <w:spacing w:line="360" w:lineRule="auto"/>
        <w:jc w:val="center"/>
        <w:rPr>
          <w:rFonts w:ascii="Times New Roman" w:hAnsi="Times New Roman" w:cs="宋体"/>
          <w:b/>
          <w:color w:val="auto"/>
        </w:rPr>
      </w:pPr>
      <w:r>
        <w:rPr>
          <w:rFonts w:ascii="Times New Roman" w:hAnsi="Times New Roman"/>
          <w:color w:val="auto"/>
          <w:sz w:val="23"/>
          <w:szCs w:val="23"/>
        </w:rPr>
        <w:br w:type="page"/>
      </w:r>
      <w:r>
        <w:rPr>
          <w:rStyle w:val="29"/>
          <w:rFonts w:hint="eastAsia"/>
          <w:b/>
          <w:color w:val="auto"/>
          <w:szCs w:val="28"/>
        </w:rPr>
        <w:t>11、</w:t>
      </w:r>
      <w:r>
        <w:rPr>
          <w:rStyle w:val="29"/>
          <w:rFonts w:hint="eastAsia"/>
          <w:b/>
          <w:color w:val="auto"/>
          <w:sz w:val="28"/>
          <w:szCs w:val="28"/>
        </w:rPr>
        <w:t>属于监狱企业的证明文件（如有）</w:t>
      </w:r>
    </w:p>
    <w:p>
      <w:pPr>
        <w:pStyle w:val="36"/>
        <w:spacing w:line="360" w:lineRule="auto"/>
        <w:rPr>
          <w:rFonts w:ascii="Times New Roman" w:hAnsi="Times New Roman" w:cs="宋体"/>
          <w:color w:val="auto"/>
          <w:kern w:val="2"/>
        </w:rPr>
      </w:pPr>
      <w:r>
        <w:rPr>
          <w:rFonts w:hint="eastAsia" w:ascii="Times New Roman" w:hAnsi="Times New Roman" w:cs="宋体"/>
          <w:color w:val="auto"/>
          <w:kern w:val="2"/>
        </w:rPr>
        <w:t>（提供由省级以上监狱管理局、戒毒管理局（含新疆生产建设兵团）出具的属于监狱企业的证明文件）</w:t>
      </w:r>
    </w:p>
    <w:p>
      <w:pPr>
        <w:shd w:val="clear" w:color="auto" w:fill="FFFFFF"/>
        <w:snapToGrid w:val="0"/>
        <w:spacing w:line="360" w:lineRule="auto"/>
        <w:jc w:val="left"/>
        <w:rPr>
          <w:rFonts w:ascii="Times New Roman" w:hAnsi="Times New Roman" w:eastAsia="宋体"/>
          <w:b/>
          <w:bCs/>
          <w:kern w:val="0"/>
          <w:sz w:val="28"/>
        </w:rPr>
      </w:pPr>
      <w:r>
        <w:rPr>
          <w:rFonts w:ascii="Times New Roman" w:hAnsi="Times New Roman" w:eastAsia="宋体" w:cs="宋体"/>
        </w:rPr>
        <w:br w:type="page"/>
      </w:r>
      <w:r>
        <w:rPr>
          <w:rFonts w:ascii="Times New Roman" w:hAnsi="Times New Roman" w:eastAsia="宋体"/>
          <w:b/>
          <w:kern w:val="0"/>
          <w:sz w:val="22"/>
        </w:rPr>
        <w:t>附件：</w:t>
      </w:r>
    </w:p>
    <w:p>
      <w:pPr>
        <w:widowControl/>
        <w:shd w:val="clear" w:color="auto" w:fill="FFFFFF"/>
        <w:snapToGrid w:val="0"/>
        <w:spacing w:line="360" w:lineRule="auto"/>
        <w:jc w:val="center"/>
        <w:textAlignment w:val="baseline"/>
        <w:rPr>
          <w:rFonts w:ascii="Times New Roman" w:hAnsi="Times New Roman" w:eastAsia="宋体"/>
          <w:kern w:val="0"/>
          <w:sz w:val="24"/>
        </w:rPr>
      </w:pPr>
      <w:r>
        <w:rPr>
          <w:rFonts w:hint="eastAsia" w:ascii="Times New Roman" w:hAnsi="Times New Roman" w:eastAsia="宋体"/>
          <w:b/>
          <w:bCs/>
          <w:kern w:val="0"/>
          <w:sz w:val="28"/>
        </w:rPr>
        <w:t>中小企业划型标准规定</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各行业划型标准为：</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（一）农、林、牧、渔业。营业收入20000万元以下的为中小微型企业。其中，营业收入500万元及以上的为中型企业，营业收入50万元及以上的为小型企业，营业收入50万元以下的为微型企业。</w:t>
      </w:r>
      <w:r>
        <w:rPr>
          <w:rFonts w:ascii="Times New Roman" w:hAnsi="Times New Roman" w:eastAsia="宋体"/>
          <w:sz w:val="24"/>
        </w:rPr>
        <w:br w:type="textWrapping"/>
      </w:r>
      <w:r>
        <w:rPr>
          <w:rFonts w:ascii="Times New Roman" w:hAnsi="Times New Roman" w:eastAsia="宋体"/>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imes New Roman" w:hAnsi="Times New Roman" w:eastAsia="宋体"/>
          <w:sz w:val="24"/>
        </w:rPr>
        <w:br w:type="textWrapping"/>
      </w:r>
      <w:r>
        <w:rPr>
          <w:rFonts w:ascii="Times New Roman" w:hAnsi="Times New Roman" w:eastAsia="宋体"/>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宋体"/>
          <w:sz w:val="24"/>
        </w:rPr>
        <w:br w:type="textWrapping"/>
      </w:r>
      <w:r>
        <w:rPr>
          <w:rFonts w:ascii="Times New Roman" w:hAnsi="Times New Roman" w:eastAsia="宋体"/>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imes New Roman" w:hAnsi="Times New Roman" w:eastAsia="宋体"/>
          <w:sz w:val="24"/>
        </w:rPr>
        <w:br w:type="textWrapping"/>
      </w:r>
      <w:r>
        <w:rPr>
          <w:rFonts w:ascii="Times New Roman" w:hAnsi="Times New Roman" w:eastAsia="宋体"/>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imes New Roman" w:hAnsi="Times New Roman" w:eastAsia="宋体"/>
          <w:sz w:val="24"/>
        </w:rPr>
        <w:br w:type="textWrapping"/>
      </w:r>
      <w:r>
        <w:rPr>
          <w:rFonts w:ascii="Times New Roman" w:hAnsi="Times New Roman" w:eastAsia="宋体"/>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imes New Roman" w:hAnsi="Times New Roman" w:eastAsia="宋体"/>
          <w:sz w:val="24"/>
        </w:rPr>
        <w:br w:type="textWrapping"/>
      </w:r>
      <w:r>
        <w:rPr>
          <w:rFonts w:ascii="Times New Roman" w:hAnsi="Times New Roman" w:eastAsia="宋体"/>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imes New Roman" w:hAnsi="Times New Roman" w:eastAsia="宋体"/>
          <w:sz w:val="24"/>
        </w:rPr>
        <w:br w:type="textWrapping"/>
      </w:r>
      <w:r>
        <w:rPr>
          <w:rFonts w:ascii="Times New Roman" w:hAnsi="Times New Roman" w:eastAsia="宋体"/>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imes New Roman" w:hAnsi="Times New Roman" w:eastAsia="宋体"/>
          <w:sz w:val="24"/>
        </w:rPr>
        <w:br w:type="textWrapping"/>
      </w:r>
      <w:r>
        <w:rPr>
          <w:rFonts w:ascii="Times New Roman" w:hAnsi="Times New Roman" w:eastAsia="宋体"/>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imes New Roman" w:hAnsi="Times New Roman" w:eastAsia="宋体"/>
          <w:sz w:val="24"/>
        </w:rPr>
        <w:br w:type="textWrapping"/>
      </w:r>
      <w:r>
        <w:rPr>
          <w:rFonts w:ascii="Times New Roman" w:hAnsi="Times New Roman" w:eastAsia="宋体"/>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imes New Roman" w:hAnsi="Times New Roman" w:eastAsia="宋体"/>
          <w:sz w:val="24"/>
        </w:rPr>
        <w:br w:type="textWrapping"/>
      </w:r>
      <w:r>
        <w:rPr>
          <w:rFonts w:ascii="Times New Roman" w:hAnsi="Times New Roman" w:eastAsia="宋体"/>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imes New Roman" w:hAnsi="Times New Roman" w:eastAsia="宋体"/>
          <w:sz w:val="24"/>
        </w:rPr>
        <w:br w:type="textWrapping"/>
      </w:r>
      <w:r>
        <w:rPr>
          <w:rFonts w:ascii="Times New Roman" w:hAnsi="Times New Roman" w:eastAsia="宋体"/>
          <w:sz w:val="24"/>
        </w:rPr>
        <w:t>　　（十六）其他未列明行业。从业人员300人以下的为中小微型企业。其中，从业人员100人及以上的为中型企业；从业人员10人及以上的为小型企业；从业人员10人以下的为微型企业。</w:t>
      </w:r>
    </w:p>
    <w:p>
      <w:pPr>
        <w:spacing w:line="360" w:lineRule="auto"/>
        <w:rPr>
          <w:rFonts w:ascii="Times New Roman" w:hAnsi="Times New Roman" w:eastAsia="宋体"/>
          <w:b/>
          <w:color w:val="000000"/>
          <w:sz w:val="28"/>
        </w:rPr>
      </w:pPr>
      <w:r>
        <w:rPr>
          <w:rFonts w:ascii="Times New Roman" w:hAnsi="Times New Roman" w:eastAsia="宋体" w:cs="宋体"/>
          <w:b/>
          <w:bCs/>
          <w:szCs w:val="21"/>
        </w:rPr>
        <w:br w:type="page"/>
      </w:r>
      <w:r>
        <w:rPr>
          <w:rFonts w:hint="eastAsia" w:ascii="Times New Roman" w:hAnsi="Times New Roman" w:eastAsia="宋体"/>
          <w:b/>
          <w:color w:val="000000"/>
          <w:sz w:val="28"/>
        </w:rPr>
        <w:t>附件：</w:t>
      </w:r>
    </w:p>
    <w:p>
      <w:pPr>
        <w:spacing w:line="360" w:lineRule="auto"/>
        <w:jc w:val="center"/>
        <w:rPr>
          <w:rFonts w:ascii="Times New Roman" w:hAnsi="Times New Roman" w:eastAsia="宋体" w:cs="宋体"/>
          <w:b/>
          <w:spacing w:val="2"/>
          <w:w w:val="99"/>
          <w:sz w:val="32"/>
          <w:szCs w:val="32"/>
        </w:rPr>
      </w:pPr>
      <w:r>
        <w:rPr>
          <w:rFonts w:hint="eastAsia" w:ascii="Times New Roman" w:hAnsi="Times New Roman" w:eastAsia="宋体" w:cs="宋体"/>
          <w:b/>
          <w:spacing w:val="2"/>
          <w:w w:val="99"/>
          <w:sz w:val="32"/>
          <w:szCs w:val="32"/>
        </w:rPr>
        <w:t>供应商参加谈判确认函</w:t>
      </w:r>
    </w:p>
    <w:p>
      <w:pPr>
        <w:spacing w:line="360" w:lineRule="auto"/>
        <w:jc w:val="center"/>
        <w:rPr>
          <w:rFonts w:ascii="Times New Roman" w:hAnsi="Times New Roman" w:eastAsia="宋体" w:cs="宋体"/>
          <w:sz w:val="32"/>
          <w:szCs w:val="32"/>
        </w:rPr>
      </w:pPr>
      <w:r>
        <w:rPr>
          <w:rFonts w:ascii="Times New Roman" w:hAnsi="Times New Roman" w:eastAsia="宋体" w:cs="宋体"/>
          <w:spacing w:val="2"/>
          <w:w w:val="99"/>
          <w:sz w:val="32"/>
          <w:szCs w:val="32"/>
        </w:rPr>
        <w:t>供应商</w:t>
      </w:r>
      <w:r>
        <w:rPr>
          <w:rFonts w:ascii="Times New Roman" w:hAnsi="Times New Roman" w:eastAsia="宋体" w:cs="宋体"/>
          <w:w w:val="99"/>
          <w:sz w:val="32"/>
          <w:szCs w:val="32"/>
        </w:rPr>
        <w:t>联</w:t>
      </w:r>
      <w:r>
        <w:rPr>
          <w:rFonts w:ascii="Times New Roman" w:hAnsi="Times New Roman" w:eastAsia="宋体" w:cs="宋体"/>
          <w:spacing w:val="2"/>
          <w:w w:val="99"/>
          <w:sz w:val="32"/>
          <w:szCs w:val="32"/>
        </w:rPr>
        <w:t>系</w:t>
      </w:r>
      <w:r>
        <w:rPr>
          <w:rFonts w:ascii="Times New Roman" w:hAnsi="Times New Roman" w:eastAsia="宋体" w:cs="宋体"/>
          <w:w w:val="99"/>
          <w:sz w:val="32"/>
          <w:szCs w:val="32"/>
        </w:rPr>
        <w:t>表</w:t>
      </w:r>
    </w:p>
    <w:p>
      <w:pPr>
        <w:spacing w:before="8" w:line="40" w:lineRule="exact"/>
        <w:jc w:val="left"/>
        <w:rPr>
          <w:rFonts w:ascii="Times New Roman" w:hAnsi="Times New Roman" w:eastAsia="宋体"/>
          <w:sz w:val="24"/>
        </w:rPr>
      </w:pPr>
    </w:p>
    <w:tbl>
      <w:tblPr>
        <w:tblStyle w:val="18"/>
        <w:tblW w:w="0" w:type="auto"/>
        <w:jc w:val="center"/>
        <w:tblLayout w:type="fixed"/>
        <w:tblCellMar>
          <w:top w:w="0" w:type="dxa"/>
          <w:left w:w="0" w:type="dxa"/>
          <w:bottom w:w="0" w:type="dxa"/>
          <w:right w:w="0" w:type="dxa"/>
        </w:tblCellMar>
      </w:tblPr>
      <w:tblGrid>
        <w:gridCol w:w="2440"/>
        <w:gridCol w:w="2016"/>
        <w:gridCol w:w="2745"/>
        <w:gridCol w:w="1950"/>
      </w:tblGrid>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名称</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地址</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法</w:t>
            </w:r>
            <w:r>
              <w:rPr>
                <w:rFonts w:ascii="Times New Roman" w:hAnsi="Times New Roman" w:eastAsia="宋体" w:cs="宋体"/>
                <w:spacing w:val="2"/>
                <w:position w:val="-1"/>
                <w:sz w:val="24"/>
              </w:rPr>
              <w:t>定</w:t>
            </w:r>
            <w:r>
              <w:rPr>
                <w:rFonts w:ascii="Times New Roman" w:hAnsi="Times New Roman" w:eastAsia="宋体" w:cs="宋体"/>
                <w:position w:val="-1"/>
                <w:sz w:val="24"/>
              </w:rPr>
              <w:t>代</w:t>
            </w:r>
            <w:r>
              <w:rPr>
                <w:rFonts w:ascii="Times New Roman" w:hAnsi="Times New Roman" w:eastAsia="宋体" w:cs="宋体"/>
                <w:spacing w:val="2"/>
                <w:position w:val="-1"/>
                <w:sz w:val="24"/>
              </w:rPr>
              <w:t>表</w:t>
            </w:r>
            <w:r>
              <w:rPr>
                <w:rFonts w:ascii="Times New Roman" w:hAnsi="Times New Roman" w:eastAsia="宋体" w:cs="宋体"/>
                <w:position w:val="-1"/>
                <w:sz w:val="24"/>
              </w:rPr>
              <w:t>人</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邮</w:t>
            </w:r>
            <w:r>
              <w:rPr>
                <w:rFonts w:ascii="Times New Roman" w:hAnsi="Times New Roman" w:eastAsia="宋体" w:cs="宋体"/>
                <w:position w:val="-1"/>
                <w:sz w:val="24"/>
              </w:rPr>
              <w:tab/>
            </w:r>
            <w:r>
              <w:rPr>
                <w:rFonts w:ascii="Times New Roman" w:hAnsi="Times New Roman" w:eastAsia="宋体" w:cs="宋体"/>
                <w:position w:val="-1"/>
                <w:sz w:val="24"/>
              </w:rPr>
              <w:t>编</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电话</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传</w:t>
            </w:r>
            <w:r>
              <w:rPr>
                <w:rFonts w:ascii="Times New Roman" w:hAnsi="Times New Roman" w:eastAsia="宋体" w:cs="宋体"/>
                <w:spacing w:val="2"/>
                <w:position w:val="-1"/>
                <w:sz w:val="24"/>
              </w:rPr>
              <w:t>真</w:t>
            </w:r>
            <w:r>
              <w:rPr>
                <w:rFonts w:ascii="Times New Roman" w:hAnsi="Times New Roman" w:eastAsia="宋体" w:cs="宋体"/>
                <w:position w:val="-1"/>
                <w:sz w:val="24"/>
              </w:rPr>
              <w:t>号码</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项</w:t>
            </w:r>
            <w:r>
              <w:rPr>
                <w:rFonts w:ascii="Times New Roman" w:hAnsi="Times New Roman" w:eastAsia="宋体" w:cs="宋体"/>
                <w:spacing w:val="2"/>
                <w:position w:val="-1"/>
                <w:sz w:val="24"/>
              </w:rPr>
              <w:t>目</w:t>
            </w: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邮</w:t>
            </w:r>
            <w:r>
              <w:rPr>
                <w:rFonts w:ascii="Times New Roman" w:hAnsi="Times New Roman" w:eastAsia="宋体" w:cs="宋体"/>
                <w:position w:val="-1"/>
                <w:sz w:val="24"/>
              </w:rPr>
              <w:tab/>
            </w:r>
            <w:r>
              <w:rPr>
                <w:rFonts w:ascii="Times New Roman" w:hAnsi="Times New Roman" w:eastAsia="宋体" w:cs="宋体"/>
                <w:position w:val="-1"/>
                <w:sz w:val="24"/>
              </w:rPr>
              <w:t>箱</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r>
              <w:rPr>
                <w:rFonts w:ascii="Times New Roman" w:hAnsi="Times New Roman" w:eastAsia="宋体" w:cs="宋体"/>
                <w:spacing w:val="2"/>
                <w:position w:val="-1"/>
                <w:sz w:val="24"/>
              </w:rPr>
              <w:t>电</w:t>
            </w:r>
            <w:r>
              <w:rPr>
                <w:rFonts w:ascii="Times New Roman" w:hAnsi="Times New Roman" w:eastAsia="宋体" w:cs="宋体"/>
                <w:position w:val="-1"/>
                <w:sz w:val="24"/>
              </w:rPr>
              <w:t>话</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r>
              <w:rPr>
                <w:rFonts w:ascii="Times New Roman" w:hAnsi="Times New Roman" w:eastAsia="宋体" w:cs="宋体"/>
                <w:spacing w:val="2"/>
                <w:position w:val="-1"/>
                <w:sz w:val="24"/>
              </w:rPr>
              <w:t>手</w:t>
            </w:r>
            <w:r>
              <w:rPr>
                <w:rFonts w:ascii="Times New Roman" w:hAnsi="Times New Roman" w:eastAsia="宋体" w:cs="宋体"/>
                <w:position w:val="-1"/>
                <w:sz w:val="24"/>
              </w:rPr>
              <w:t>机</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所</w:t>
            </w:r>
            <w:r>
              <w:rPr>
                <w:rFonts w:ascii="Times New Roman" w:hAnsi="Times New Roman" w:eastAsia="宋体" w:cs="宋体"/>
                <w:spacing w:val="2"/>
                <w:position w:val="-1"/>
                <w:sz w:val="24"/>
              </w:rPr>
              <w:t>投</w:t>
            </w:r>
            <w:r>
              <w:rPr>
                <w:rFonts w:ascii="Times New Roman" w:hAnsi="Times New Roman" w:eastAsia="宋体" w:cs="宋体"/>
                <w:position w:val="-1"/>
                <w:sz w:val="24"/>
              </w:rPr>
              <w:t>项</w:t>
            </w:r>
            <w:r>
              <w:rPr>
                <w:rFonts w:ascii="Times New Roman" w:hAnsi="Times New Roman" w:eastAsia="宋体" w:cs="宋体"/>
                <w:spacing w:val="2"/>
                <w:position w:val="-1"/>
                <w:sz w:val="24"/>
              </w:rPr>
              <w:t>目</w:t>
            </w:r>
            <w:r>
              <w:rPr>
                <w:rFonts w:ascii="Times New Roman" w:hAnsi="Times New Roman" w:eastAsia="宋体" w:cs="宋体"/>
                <w:position w:val="-1"/>
                <w:sz w:val="24"/>
              </w:rPr>
              <w:t>名称</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bl>
    <w:p>
      <w:pPr>
        <w:spacing w:line="360" w:lineRule="auto"/>
        <w:jc w:val="left"/>
        <w:rPr>
          <w:rFonts w:ascii="Times New Roman" w:hAnsi="Times New Roman" w:eastAsia="宋体" w:cs="宋体"/>
          <w:spacing w:val="-3"/>
          <w:position w:val="-1"/>
          <w:sz w:val="24"/>
        </w:rPr>
      </w:pPr>
      <w:r>
        <w:rPr>
          <w:rFonts w:ascii="Times New Roman" w:hAnsi="Times New Roman" w:eastAsia="宋体" w:cs="宋体"/>
          <w:spacing w:val="2"/>
          <w:position w:val="-1"/>
          <w:sz w:val="24"/>
        </w:rPr>
        <w:t>备注</w:t>
      </w:r>
      <w:r>
        <w:rPr>
          <w:rFonts w:ascii="Times New Roman" w:hAnsi="Times New Roman" w:eastAsia="宋体" w:cs="宋体"/>
          <w:spacing w:val="-3"/>
          <w:position w:val="-1"/>
          <w:sz w:val="24"/>
        </w:rPr>
        <w:t>：</w:t>
      </w:r>
    </w:p>
    <w:p>
      <w:pPr>
        <w:spacing w:line="360" w:lineRule="auto"/>
        <w:ind w:firstLine="492" w:firstLineChars="200"/>
        <w:jc w:val="left"/>
        <w:rPr>
          <w:rFonts w:ascii="Times New Roman" w:hAnsi="Times New Roman" w:eastAsia="宋体"/>
          <w:sz w:val="24"/>
        </w:rPr>
      </w:pPr>
      <w:r>
        <w:rPr>
          <w:rFonts w:ascii="Times New Roman" w:hAnsi="Times New Roman" w:eastAsia="宋体" w:cs="宋体"/>
          <w:spacing w:val="3"/>
          <w:position w:val="-1"/>
          <w:sz w:val="24"/>
        </w:rPr>
        <w:t>1</w:t>
      </w:r>
      <w:r>
        <w:rPr>
          <w:rFonts w:ascii="Times New Roman" w:hAnsi="Times New Roman" w:eastAsia="宋体" w:cs="宋体"/>
          <w:spacing w:val="-5"/>
          <w:position w:val="-1"/>
          <w:sz w:val="24"/>
        </w:rPr>
        <w:t>、</w:t>
      </w:r>
      <w:r>
        <w:rPr>
          <w:rFonts w:ascii="Times New Roman" w:hAnsi="Times New Roman" w:eastAsia="宋体" w:cs="宋体"/>
          <w:spacing w:val="2"/>
          <w:position w:val="-1"/>
          <w:sz w:val="24"/>
        </w:rPr>
        <w:t>请准</w:t>
      </w:r>
      <w:r>
        <w:rPr>
          <w:rFonts w:ascii="Times New Roman" w:hAnsi="Times New Roman" w:eastAsia="宋体" w:cs="宋体"/>
          <w:spacing w:val="5"/>
          <w:position w:val="-1"/>
          <w:sz w:val="24"/>
        </w:rPr>
        <w:t>备</w:t>
      </w:r>
      <w:r>
        <w:rPr>
          <w:rFonts w:ascii="Times New Roman" w:hAnsi="Times New Roman" w:eastAsia="宋体" w:cs="宋体"/>
          <w:spacing w:val="2"/>
          <w:position w:val="-1"/>
          <w:sz w:val="24"/>
        </w:rPr>
        <w:t>参与本项目</w:t>
      </w:r>
      <w:r>
        <w:rPr>
          <w:rFonts w:hint="eastAsia" w:ascii="Times New Roman" w:hAnsi="Times New Roman" w:eastAsia="宋体" w:cs="宋体"/>
          <w:spacing w:val="5"/>
          <w:position w:val="-1"/>
          <w:sz w:val="24"/>
        </w:rPr>
        <w:t>谈判</w:t>
      </w:r>
      <w:r>
        <w:rPr>
          <w:rFonts w:ascii="Times New Roman" w:hAnsi="Times New Roman" w:eastAsia="宋体" w:cs="宋体"/>
          <w:spacing w:val="2"/>
          <w:position w:val="-1"/>
          <w:sz w:val="24"/>
        </w:rPr>
        <w:t>的供应商</w:t>
      </w:r>
      <w:r>
        <w:rPr>
          <w:rFonts w:ascii="Times New Roman" w:hAnsi="Times New Roman" w:eastAsia="宋体" w:cs="宋体"/>
          <w:spacing w:val="5"/>
          <w:position w:val="-1"/>
          <w:sz w:val="24"/>
        </w:rPr>
        <w:t>如</w:t>
      </w:r>
      <w:r>
        <w:rPr>
          <w:rFonts w:ascii="Times New Roman" w:hAnsi="Times New Roman" w:eastAsia="宋体" w:cs="宋体"/>
          <w:spacing w:val="2"/>
          <w:position w:val="-1"/>
          <w:sz w:val="24"/>
        </w:rPr>
        <w:t>实填</w:t>
      </w:r>
      <w:r>
        <w:rPr>
          <w:rFonts w:ascii="Times New Roman" w:hAnsi="Times New Roman" w:eastAsia="宋体" w:cs="宋体"/>
          <w:spacing w:val="-2"/>
          <w:position w:val="-1"/>
          <w:sz w:val="24"/>
        </w:rPr>
        <w:t>写</w:t>
      </w:r>
      <w:r>
        <w:rPr>
          <w:rFonts w:ascii="Times New Roman" w:hAnsi="Times New Roman" w:eastAsia="宋体" w:cs="宋体"/>
          <w:spacing w:val="2"/>
          <w:position w:val="-1"/>
          <w:sz w:val="24"/>
        </w:rPr>
        <w:t>（以上</w:t>
      </w:r>
      <w:r>
        <w:rPr>
          <w:rFonts w:ascii="Times New Roman" w:hAnsi="Times New Roman" w:eastAsia="宋体" w:cs="宋体"/>
          <w:spacing w:val="5"/>
          <w:position w:val="-1"/>
          <w:sz w:val="24"/>
        </w:rPr>
        <w:t>信</w:t>
      </w:r>
      <w:r>
        <w:rPr>
          <w:rFonts w:ascii="Times New Roman" w:hAnsi="Times New Roman" w:eastAsia="宋体" w:cs="宋体"/>
          <w:spacing w:val="2"/>
          <w:position w:val="-1"/>
          <w:sz w:val="24"/>
        </w:rPr>
        <w:t>息均为必填</w:t>
      </w:r>
      <w:r>
        <w:rPr>
          <w:rFonts w:ascii="Times New Roman" w:hAnsi="Times New Roman" w:eastAsia="宋体" w:cs="宋体"/>
          <w:spacing w:val="5"/>
          <w:position w:val="-1"/>
          <w:sz w:val="24"/>
        </w:rPr>
        <w:t>内</w:t>
      </w:r>
      <w:r>
        <w:rPr>
          <w:rFonts w:ascii="Times New Roman" w:hAnsi="Times New Roman" w:eastAsia="宋体" w:cs="宋体"/>
          <w:spacing w:val="2"/>
          <w:position w:val="-1"/>
          <w:sz w:val="24"/>
        </w:rPr>
        <w:t>容</w:t>
      </w:r>
      <w:r>
        <w:rPr>
          <w:rFonts w:ascii="Times New Roman" w:hAnsi="Times New Roman" w:eastAsia="宋体" w:cs="宋体"/>
          <w:spacing w:val="-3"/>
          <w:position w:val="-1"/>
          <w:sz w:val="24"/>
        </w:rPr>
        <w:t>）</w:t>
      </w:r>
      <w:r>
        <w:rPr>
          <w:rFonts w:ascii="Times New Roman" w:hAnsi="Times New Roman" w:eastAsia="宋体" w:cs="宋体"/>
          <w:spacing w:val="2"/>
          <w:position w:val="-1"/>
          <w:sz w:val="24"/>
        </w:rPr>
        <w:t>后邮</w:t>
      </w:r>
      <w:r>
        <w:rPr>
          <w:rFonts w:ascii="Times New Roman" w:hAnsi="Times New Roman" w:eastAsia="宋体" w:cs="宋体"/>
          <w:spacing w:val="5"/>
          <w:position w:val="-1"/>
          <w:sz w:val="24"/>
        </w:rPr>
        <w:t>件</w:t>
      </w:r>
      <w:r>
        <w:rPr>
          <w:rFonts w:ascii="Times New Roman" w:hAnsi="Times New Roman" w:eastAsia="宋体" w:cs="宋体"/>
          <w:spacing w:val="2"/>
          <w:position w:val="-1"/>
          <w:sz w:val="24"/>
        </w:rPr>
        <w:t>至</w:t>
      </w:r>
      <w:r>
        <w:rPr>
          <w:rFonts w:ascii="Times New Roman" w:hAnsi="Times New Roman" w:eastAsia="宋体" w:cs="宋体"/>
          <w:position w:val="-1"/>
          <w:sz w:val="24"/>
        </w:rPr>
        <w:t>采</w:t>
      </w:r>
      <w:r>
        <w:rPr>
          <w:rFonts w:ascii="Times New Roman" w:hAnsi="Times New Roman" w:eastAsia="宋体" w:cs="宋体"/>
          <w:spacing w:val="2"/>
          <w:sz w:val="24"/>
        </w:rPr>
        <w:t>购代理</w:t>
      </w:r>
      <w:r>
        <w:rPr>
          <w:rFonts w:ascii="Times New Roman" w:hAnsi="Times New Roman" w:eastAsia="宋体" w:cs="宋体"/>
          <w:sz w:val="24"/>
        </w:rPr>
        <w:t>机</w:t>
      </w:r>
      <w:r>
        <w:rPr>
          <w:rFonts w:ascii="Times New Roman" w:hAnsi="Times New Roman" w:eastAsia="宋体" w:cs="宋体"/>
          <w:spacing w:val="2"/>
          <w:sz w:val="24"/>
        </w:rPr>
        <w:t>构（邮箱</w:t>
      </w:r>
      <w:r>
        <w:rPr>
          <w:rFonts w:ascii="Times New Roman" w:hAnsi="Times New Roman" w:eastAsia="宋体" w:cs="宋体"/>
          <w:sz w:val="24"/>
        </w:rPr>
        <w:t>：</w:t>
      </w:r>
      <w:r>
        <w:rPr>
          <w:rFonts w:ascii="Times New Roman" w:hAnsi="Times New Roman" w:eastAsia="宋体"/>
          <w:sz w:val="24"/>
        </w:rPr>
        <w:t>812298892</w:t>
      </w:r>
      <w:r>
        <w:rPr>
          <w:rFonts w:hint="eastAsia" w:ascii="Times New Roman" w:hAnsi="Times New Roman" w:eastAsia="宋体"/>
          <w:sz w:val="24"/>
        </w:rPr>
        <w:t>@qq.com， 联系电话：</w:t>
      </w:r>
      <w:r>
        <w:rPr>
          <w:rFonts w:ascii="Times New Roman" w:hAnsi="Times New Roman" w:eastAsia="宋体"/>
          <w:sz w:val="24"/>
        </w:rPr>
        <w:t>18912299056</w:t>
      </w:r>
      <w:r>
        <w:rPr>
          <w:rFonts w:ascii="Times New Roman" w:hAnsi="Times New Roman" w:eastAsia="宋体" w:cs="宋体"/>
          <w:spacing w:val="2"/>
          <w:sz w:val="24"/>
        </w:rPr>
        <w:t>）</w:t>
      </w:r>
      <w:r>
        <w:rPr>
          <w:rFonts w:ascii="Times New Roman" w:hAnsi="Times New Roman" w:eastAsia="宋体" w:cs="宋体"/>
          <w:sz w:val="24"/>
        </w:rPr>
        <w:t>。</w:t>
      </w:r>
    </w:p>
    <w:p>
      <w:pPr>
        <w:spacing w:line="360" w:lineRule="auto"/>
        <w:ind w:firstLine="484" w:firstLineChars="200"/>
        <w:jc w:val="left"/>
        <w:rPr>
          <w:rFonts w:ascii="Times New Roman" w:hAnsi="Times New Roman" w:eastAsia="宋体"/>
          <w:sz w:val="24"/>
        </w:rPr>
      </w:pPr>
      <w:r>
        <w:rPr>
          <w:rFonts w:ascii="Times New Roman" w:hAnsi="Times New Roman" w:eastAsia="宋体" w:cs="宋体"/>
          <w:spacing w:val="1"/>
          <w:sz w:val="24"/>
        </w:rPr>
        <w:t>2</w:t>
      </w:r>
      <w:r>
        <w:rPr>
          <w:rFonts w:ascii="Times New Roman" w:hAnsi="Times New Roman" w:eastAsia="宋体" w:cs="宋体"/>
          <w:spacing w:val="2"/>
          <w:sz w:val="24"/>
        </w:rPr>
        <w:t>、因</w:t>
      </w:r>
      <w:r>
        <w:rPr>
          <w:rFonts w:hint="eastAsia" w:ascii="Times New Roman" w:hAnsi="Times New Roman" w:eastAsia="宋体" w:cs="宋体"/>
          <w:spacing w:val="2"/>
          <w:sz w:val="24"/>
        </w:rPr>
        <w:t>供应商</w:t>
      </w:r>
      <w:r>
        <w:rPr>
          <w:rFonts w:ascii="Times New Roman" w:hAnsi="Times New Roman" w:eastAsia="宋体" w:cs="宋体"/>
          <w:spacing w:val="2"/>
          <w:sz w:val="24"/>
        </w:rPr>
        <w:t>填写有误</w:t>
      </w:r>
      <w:r>
        <w:rPr>
          <w:rFonts w:ascii="Times New Roman" w:hAnsi="Times New Roman" w:eastAsia="宋体" w:cs="宋体"/>
          <w:sz w:val="24"/>
        </w:rPr>
        <w:t>，</w:t>
      </w:r>
      <w:r>
        <w:rPr>
          <w:rFonts w:ascii="Times New Roman" w:hAnsi="Times New Roman" w:eastAsia="宋体" w:cs="宋体"/>
          <w:spacing w:val="2"/>
          <w:sz w:val="24"/>
        </w:rPr>
        <w:t>造成以上信</w:t>
      </w:r>
      <w:r>
        <w:rPr>
          <w:rFonts w:ascii="Times New Roman" w:hAnsi="Times New Roman" w:eastAsia="宋体" w:cs="宋体"/>
          <w:sz w:val="24"/>
        </w:rPr>
        <w:t>息</w:t>
      </w:r>
      <w:r>
        <w:rPr>
          <w:rFonts w:ascii="Times New Roman" w:hAnsi="Times New Roman" w:eastAsia="宋体" w:cs="宋体"/>
          <w:spacing w:val="2"/>
          <w:sz w:val="24"/>
        </w:rPr>
        <w:t>资料的不实将</w:t>
      </w:r>
      <w:r>
        <w:rPr>
          <w:rFonts w:ascii="Times New Roman" w:hAnsi="Times New Roman" w:eastAsia="宋体" w:cs="宋体"/>
          <w:sz w:val="24"/>
        </w:rPr>
        <w:t>由</w:t>
      </w:r>
      <w:r>
        <w:rPr>
          <w:rFonts w:hint="eastAsia" w:ascii="Times New Roman" w:hAnsi="Times New Roman" w:eastAsia="宋体" w:cs="宋体"/>
          <w:spacing w:val="2"/>
          <w:sz w:val="24"/>
        </w:rPr>
        <w:t>供应商</w:t>
      </w:r>
      <w:r>
        <w:rPr>
          <w:rFonts w:ascii="Times New Roman" w:hAnsi="Times New Roman" w:eastAsia="宋体" w:cs="宋体"/>
          <w:spacing w:val="2"/>
          <w:sz w:val="24"/>
        </w:rPr>
        <w:t>承担</w:t>
      </w:r>
      <w:r>
        <w:rPr>
          <w:rFonts w:ascii="Times New Roman" w:hAnsi="Times New Roman" w:eastAsia="宋体" w:cs="宋体"/>
          <w:sz w:val="24"/>
        </w:rPr>
        <w:t>责</w:t>
      </w:r>
      <w:r>
        <w:rPr>
          <w:rFonts w:ascii="Times New Roman" w:hAnsi="Times New Roman" w:eastAsia="宋体" w:cs="宋体"/>
          <w:spacing w:val="2"/>
          <w:sz w:val="24"/>
        </w:rPr>
        <w:t>任</w:t>
      </w:r>
      <w:r>
        <w:rPr>
          <w:rFonts w:ascii="Times New Roman" w:hAnsi="Times New Roman" w:eastAsia="宋体" w:cs="宋体"/>
          <w:sz w:val="24"/>
        </w:rPr>
        <w:t>。</w:t>
      </w:r>
    </w:p>
    <w:p>
      <w:pPr>
        <w:widowControl/>
        <w:spacing w:line="360" w:lineRule="auto"/>
        <w:ind w:firstLine="492" w:firstLineChars="200"/>
        <w:jc w:val="left"/>
        <w:rPr>
          <w:rFonts w:ascii="Times New Roman" w:hAnsi="Times New Roman" w:eastAsia="宋体"/>
          <w:b/>
          <w:bCs/>
          <w:kern w:val="44"/>
          <w:sz w:val="28"/>
          <w:szCs w:val="44"/>
        </w:rPr>
      </w:pPr>
      <w:r>
        <w:rPr>
          <w:rFonts w:hint="eastAsia" w:ascii="Times New Roman" w:hAnsi="Times New Roman" w:eastAsia="宋体" w:cs="宋体"/>
          <w:spacing w:val="3"/>
          <w:position w:val="-1"/>
          <w:sz w:val="24"/>
        </w:rPr>
        <w:t>3</w:t>
      </w:r>
      <w:r>
        <w:rPr>
          <w:rFonts w:ascii="Times New Roman" w:hAnsi="Times New Roman" w:eastAsia="宋体" w:cs="宋体"/>
          <w:spacing w:val="3"/>
          <w:position w:val="-1"/>
          <w:sz w:val="24"/>
        </w:rPr>
        <w:t>、已确认参加</w:t>
      </w:r>
      <w:r>
        <w:rPr>
          <w:rFonts w:hint="eastAsia" w:ascii="Times New Roman" w:hAnsi="Times New Roman" w:eastAsia="宋体" w:cs="宋体"/>
          <w:spacing w:val="3"/>
          <w:position w:val="-1"/>
          <w:sz w:val="24"/>
        </w:rPr>
        <w:t>谈判</w:t>
      </w:r>
      <w:r>
        <w:rPr>
          <w:rFonts w:ascii="Times New Roman" w:hAnsi="Times New Roman" w:eastAsia="宋体" w:cs="宋体"/>
          <w:spacing w:val="3"/>
          <w:position w:val="-1"/>
          <w:sz w:val="24"/>
        </w:rPr>
        <w:t>的供应商，故意迟到或无故不参加，影响开标活动正常进行的，根据《江苏省政府采购信用管理暂行办法》，将被列为一般失信行为。</w:t>
      </w:r>
    </w:p>
    <w:p>
      <w:pPr>
        <w:pStyle w:val="36"/>
        <w:spacing w:line="360" w:lineRule="auto"/>
        <w:rPr>
          <w:rFonts w:ascii="Times New Roman" w:hAnsi="Times New Roman" w:cs="宋体"/>
          <w:b/>
          <w:bCs/>
          <w:color w:val="auto"/>
          <w:szCs w:val="21"/>
        </w:rPr>
      </w:pPr>
    </w:p>
    <w:p>
      <w:pPr>
        <w:spacing w:line="360" w:lineRule="auto"/>
        <w:ind w:firstLine="482" w:firstLineChars="200"/>
        <w:rPr>
          <w:rFonts w:ascii="Times New Roman" w:hAnsi="Times New Roman" w:eastAsia="宋体"/>
          <w:b/>
          <w:bCs/>
          <w:sz w:val="24"/>
          <w:szCs w:val="24"/>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abstractNum w:abstractNumId="1">
    <w:nsid w:val="750046C6"/>
    <w:multiLevelType w:val="multilevel"/>
    <w:tmpl w:val="750046C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55789"/>
    <w:rsid w:val="00062F66"/>
    <w:rsid w:val="000633EC"/>
    <w:rsid w:val="00066F50"/>
    <w:rsid w:val="0007689C"/>
    <w:rsid w:val="00076D60"/>
    <w:rsid w:val="0009698F"/>
    <w:rsid w:val="000B6C99"/>
    <w:rsid w:val="000C5429"/>
    <w:rsid w:val="000D0AEE"/>
    <w:rsid w:val="000D3147"/>
    <w:rsid w:val="000D7335"/>
    <w:rsid w:val="000E2EB7"/>
    <w:rsid w:val="000F0E95"/>
    <w:rsid w:val="000F3E59"/>
    <w:rsid w:val="00111B21"/>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26E"/>
    <w:rsid w:val="002468A6"/>
    <w:rsid w:val="002707F5"/>
    <w:rsid w:val="00285BC2"/>
    <w:rsid w:val="00286641"/>
    <w:rsid w:val="002A1341"/>
    <w:rsid w:val="002A48A2"/>
    <w:rsid w:val="002B6511"/>
    <w:rsid w:val="002C01E3"/>
    <w:rsid w:val="002E1BA8"/>
    <w:rsid w:val="002E40A5"/>
    <w:rsid w:val="002F6EFE"/>
    <w:rsid w:val="002F7C52"/>
    <w:rsid w:val="002F7F56"/>
    <w:rsid w:val="00315628"/>
    <w:rsid w:val="00331324"/>
    <w:rsid w:val="00335864"/>
    <w:rsid w:val="00362918"/>
    <w:rsid w:val="00363D22"/>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0F76"/>
    <w:rsid w:val="00414EA1"/>
    <w:rsid w:val="004254FC"/>
    <w:rsid w:val="0042773D"/>
    <w:rsid w:val="004356D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65408"/>
    <w:rsid w:val="00576289"/>
    <w:rsid w:val="005841A4"/>
    <w:rsid w:val="005A31EB"/>
    <w:rsid w:val="005C3634"/>
    <w:rsid w:val="005C5B61"/>
    <w:rsid w:val="005D1282"/>
    <w:rsid w:val="005D73C6"/>
    <w:rsid w:val="00603E35"/>
    <w:rsid w:val="00633A81"/>
    <w:rsid w:val="00645528"/>
    <w:rsid w:val="006717CA"/>
    <w:rsid w:val="006822D2"/>
    <w:rsid w:val="006902A0"/>
    <w:rsid w:val="00693857"/>
    <w:rsid w:val="00694D70"/>
    <w:rsid w:val="00695A9F"/>
    <w:rsid w:val="006A5E64"/>
    <w:rsid w:val="006B4338"/>
    <w:rsid w:val="006C59BF"/>
    <w:rsid w:val="006C78E2"/>
    <w:rsid w:val="006D3A4D"/>
    <w:rsid w:val="006D5C68"/>
    <w:rsid w:val="006D7BE8"/>
    <w:rsid w:val="00734530"/>
    <w:rsid w:val="00744D06"/>
    <w:rsid w:val="00751266"/>
    <w:rsid w:val="007554EC"/>
    <w:rsid w:val="0077451C"/>
    <w:rsid w:val="00785C7E"/>
    <w:rsid w:val="007B5ED6"/>
    <w:rsid w:val="007C0266"/>
    <w:rsid w:val="007C4794"/>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3B"/>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75C3A"/>
    <w:rsid w:val="009772AF"/>
    <w:rsid w:val="009823DF"/>
    <w:rsid w:val="009948AB"/>
    <w:rsid w:val="0099591F"/>
    <w:rsid w:val="009A4AAF"/>
    <w:rsid w:val="009D17F8"/>
    <w:rsid w:val="009F3280"/>
    <w:rsid w:val="00A00280"/>
    <w:rsid w:val="00A46B05"/>
    <w:rsid w:val="00A775B1"/>
    <w:rsid w:val="00A83B0F"/>
    <w:rsid w:val="00AA53A1"/>
    <w:rsid w:val="00AB3858"/>
    <w:rsid w:val="00AB397A"/>
    <w:rsid w:val="00AC1356"/>
    <w:rsid w:val="00AC167D"/>
    <w:rsid w:val="00AD0E54"/>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6047"/>
    <w:rsid w:val="00C74113"/>
    <w:rsid w:val="00C74551"/>
    <w:rsid w:val="00C87961"/>
    <w:rsid w:val="00C96A7A"/>
    <w:rsid w:val="00CA125B"/>
    <w:rsid w:val="00CA3A6E"/>
    <w:rsid w:val="00CA4570"/>
    <w:rsid w:val="00CB2559"/>
    <w:rsid w:val="00CB5EFF"/>
    <w:rsid w:val="00CC7436"/>
    <w:rsid w:val="00CD1E8F"/>
    <w:rsid w:val="00CF0C61"/>
    <w:rsid w:val="00CF19FE"/>
    <w:rsid w:val="00CF4BAE"/>
    <w:rsid w:val="00D1283C"/>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560E"/>
    <w:rsid w:val="00E86D63"/>
    <w:rsid w:val="00E90F14"/>
    <w:rsid w:val="00E91EDF"/>
    <w:rsid w:val="00EF525C"/>
    <w:rsid w:val="00F02280"/>
    <w:rsid w:val="00F04F82"/>
    <w:rsid w:val="00F1322E"/>
    <w:rsid w:val="00F16606"/>
    <w:rsid w:val="00F20FAB"/>
    <w:rsid w:val="00F357CB"/>
    <w:rsid w:val="00F5137C"/>
    <w:rsid w:val="00F5357B"/>
    <w:rsid w:val="00F5462E"/>
    <w:rsid w:val="00F574E3"/>
    <w:rsid w:val="00F63459"/>
    <w:rsid w:val="00F63B31"/>
    <w:rsid w:val="00F8139D"/>
    <w:rsid w:val="00F825EC"/>
    <w:rsid w:val="00FA0374"/>
    <w:rsid w:val="00FA5058"/>
    <w:rsid w:val="00FB003F"/>
    <w:rsid w:val="00FC398C"/>
    <w:rsid w:val="00FD3CFD"/>
    <w:rsid w:val="00FD532E"/>
    <w:rsid w:val="00FD737A"/>
    <w:rsid w:val="00FE35B6"/>
    <w:rsid w:val="00FF3681"/>
    <w:rsid w:val="01097CE8"/>
    <w:rsid w:val="012D7A8C"/>
    <w:rsid w:val="01982DB2"/>
    <w:rsid w:val="041E22FB"/>
    <w:rsid w:val="09061CDB"/>
    <w:rsid w:val="0B386398"/>
    <w:rsid w:val="10A62F4D"/>
    <w:rsid w:val="15565D98"/>
    <w:rsid w:val="159468C1"/>
    <w:rsid w:val="15F6320B"/>
    <w:rsid w:val="18263421"/>
    <w:rsid w:val="1B750AC9"/>
    <w:rsid w:val="1F5134CC"/>
    <w:rsid w:val="1F8E2FE8"/>
    <w:rsid w:val="203A77C4"/>
    <w:rsid w:val="27F96CF3"/>
    <w:rsid w:val="29C97C61"/>
    <w:rsid w:val="2A973677"/>
    <w:rsid w:val="2C5A6960"/>
    <w:rsid w:val="2DD824AC"/>
    <w:rsid w:val="2DFE521A"/>
    <w:rsid w:val="322E658F"/>
    <w:rsid w:val="3329796B"/>
    <w:rsid w:val="34700A2F"/>
    <w:rsid w:val="39BF668E"/>
    <w:rsid w:val="39D32C64"/>
    <w:rsid w:val="3B1C6921"/>
    <w:rsid w:val="3D155E3E"/>
    <w:rsid w:val="3DA05553"/>
    <w:rsid w:val="3EF274D2"/>
    <w:rsid w:val="401C35B7"/>
    <w:rsid w:val="448734FB"/>
    <w:rsid w:val="4617099C"/>
    <w:rsid w:val="464434AE"/>
    <w:rsid w:val="56E5418D"/>
    <w:rsid w:val="57C24A3D"/>
    <w:rsid w:val="5BD91F04"/>
    <w:rsid w:val="5D4823FA"/>
    <w:rsid w:val="5F636068"/>
    <w:rsid w:val="66D92392"/>
    <w:rsid w:val="675F7512"/>
    <w:rsid w:val="68704540"/>
    <w:rsid w:val="68AD6BF3"/>
    <w:rsid w:val="6A721EA2"/>
    <w:rsid w:val="6C1132E7"/>
    <w:rsid w:val="707A560C"/>
    <w:rsid w:val="712D5BF6"/>
    <w:rsid w:val="71EA5EF0"/>
    <w:rsid w:val="72BF1288"/>
    <w:rsid w:val="746E368C"/>
    <w:rsid w:val="7D5A2578"/>
    <w:rsid w:val="7E633C7C"/>
    <w:rsid w:val="7EFD3971"/>
    <w:rsid w:val="7F7B7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paragraph" w:styleId="35">
    <w:name w:val="List Paragraph"/>
    <w:basedOn w:val="1"/>
    <w:unhideWhenUsed/>
    <w:qFormat/>
    <w:uiPriority w:val="99"/>
    <w:pPr>
      <w:ind w:firstLine="420" w:firstLineChars="200"/>
    </w:pPr>
  </w:style>
  <w:style w:type="paragraph" w:customStyle="1" w:styleId="36">
    <w:name w:val="UserStyle_18"/>
    <w:qFormat/>
    <w:uiPriority w:val="0"/>
    <w:rPr>
      <w:rFonts w:ascii="MS Mincho" w:hAnsi="等线 Light"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D621F-0B26-405C-8DE2-A171C223C2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19765</Words>
  <Characters>20430</Characters>
  <Lines>150</Lines>
  <Paragraphs>42</Paragraphs>
  <TotalTime>16</TotalTime>
  <ScaleCrop>false</ScaleCrop>
  <LinksUpToDate>false</LinksUpToDate>
  <CharactersWithSpaces>20595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2022-10-17T06:45:00Z</dcterms:created>
  <dc:creator>Administrator</dc:creator>
  <cp:lastModifiedBy>小白</cp:lastModifiedBy>
  <dcterms:modified xsi:type="dcterms:W3CDTF">2022-11-14T07:53:07Z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C12715B770C9490C98D7BDB5AACE502D</vt:lpwstr>
  </property>
</Properties>
</file>