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tabs>
          <w:tab w:val="left" w:pos="5760"/>
          <w:tab w:val="left" w:pos="6300"/>
        </w:tabs>
        <w:spacing w:line="360" w:lineRule="auto"/>
        <w:jc w:val="left"/>
        <w:textAlignment w:val="baseline"/>
        <w:rPr>
          <w:rFonts w:ascii="Times New Roman" w:hAnsi="Times New Roman" w:eastAsia="宋体"/>
          <w:sz w:val="44"/>
          <w:szCs w:val="44"/>
        </w:rPr>
      </w:pPr>
    </w:p>
    <w:p>
      <w:pPr>
        <w:spacing w:line="360" w:lineRule="auto"/>
        <w:jc w:val="center"/>
        <w:textAlignment w:val="baseline"/>
        <w:rPr>
          <w:rFonts w:ascii="Times New Roman" w:hAnsi="Times New Roman" w:eastAsia="宋体"/>
          <w:b/>
          <w:sz w:val="56"/>
          <w:szCs w:val="56"/>
        </w:rPr>
      </w:pPr>
      <w:r>
        <w:rPr>
          <w:rFonts w:hint="eastAsia" w:ascii="Times New Roman" w:hAnsi="Times New Roman" w:eastAsia="宋体"/>
          <w:b/>
          <w:sz w:val="52"/>
          <w:szCs w:val="56"/>
        </w:rPr>
        <w:t>南通市第三人民医院护理敏感指标及输血模块系统采购项目</w:t>
      </w: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2022年06月29日</w:t>
      </w: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6"/>
        <w:overflowPunct w:val="0"/>
        <w:ind w:firstLine="0"/>
        <w:jc w:val="center"/>
        <w:rPr>
          <w:rFonts w:ascii="Times New Roman" w:hAnsi="Times New Roman" w:eastAsia="宋体"/>
          <w:sz w:val="30"/>
        </w:rPr>
      </w:pP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 </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第三章 项目需求</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5"/>
        <w:tabs>
          <w:tab w:val="right" w:leader="dot" w:pos="9528"/>
        </w:tabs>
        <w:spacing w:line="1200" w:lineRule="exact"/>
        <w:rPr>
          <w:rFonts w:ascii="Times New Roman" w:hAnsi="Times New Roman" w:eastAsia="宋体"/>
          <w:sz w:val="32"/>
          <w:szCs w:val="32"/>
        </w:rPr>
      </w:pPr>
      <w:r>
        <w:rPr>
          <w:rFonts w:hint="eastAsia" w:ascii="Times New Roman" w:hAnsi="Times New Roman" w:eastAsia="宋体"/>
          <w:sz w:val="32"/>
          <w:szCs w:val="32"/>
        </w:rPr>
        <w:t>第五章</w:t>
      </w:r>
      <w:r>
        <w:rPr>
          <w:rFonts w:ascii="Times New Roman" w:hAnsi="Times New Roman" w:eastAsia="宋体"/>
          <w:sz w:val="32"/>
          <w:szCs w:val="32"/>
        </w:rPr>
        <w:t xml:space="preserve"> </w:t>
      </w:r>
      <w:r>
        <w:rPr>
          <w:rFonts w:hint="eastAsia" w:ascii="Times New Roman" w:hAnsi="Times New Roman" w:eastAsia="宋体"/>
          <w:sz w:val="32"/>
          <w:szCs w:val="32"/>
        </w:rPr>
        <w:t>合同授予</w:t>
      </w:r>
    </w:p>
    <w:p>
      <w:pPr>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1200" w:lineRule="exact"/>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
        <w:rPr>
          <w:rFonts w:ascii="Times New Roman" w:hAnsi="Times New Roman" w:eastAsia="宋体"/>
        </w:rPr>
      </w:pPr>
      <w:r>
        <w:rPr>
          <w:rFonts w:ascii="Times New Roman" w:hAnsi="Times New Roman" w:eastAsia="宋体"/>
        </w:rPr>
        <w:br w:type="page"/>
      </w:r>
    </w:p>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南通市第三人民医院护理敏感指标及输血模块系统采购项目的潜在供应商应在南通市第三人民医院官网获取采购文件，并于</w:t>
      </w:r>
      <w:r>
        <w:rPr>
          <w:rFonts w:hint="eastAsia" w:ascii="Times New Roman" w:hAnsi="Times New Roman" w:eastAsia="宋体" w:cs="宋体"/>
          <w:sz w:val="24"/>
          <w:szCs w:val="24"/>
          <w:u w:val="single"/>
        </w:rPr>
        <w:t>2022</w:t>
      </w:r>
      <w:r>
        <w:rPr>
          <w:rFonts w:hint="eastAsia" w:ascii="Times New Roman" w:hAnsi="Times New Roman" w:eastAsia="宋体" w:cs="宋体"/>
          <w:bCs/>
          <w:sz w:val="24"/>
          <w:szCs w:val="24"/>
          <w:u w:val="single"/>
        </w:rPr>
        <w:t>年07月08日10时00分</w:t>
      </w:r>
      <w:r>
        <w:rPr>
          <w:rFonts w:hint="eastAsia" w:ascii="Times New Roman" w:hAnsi="Times New Roman" w:eastAsia="宋体" w:cs="宋体"/>
          <w:bCs/>
          <w:sz w:val="24"/>
          <w:szCs w:val="24"/>
        </w:rPr>
        <w:t>（北京时间）</w:t>
      </w:r>
      <w:r>
        <w:rPr>
          <w:rFonts w:hint="eastAsia" w:ascii="Times New Roman" w:hAnsi="Times New Roman" w:eastAsia="宋体" w:cs="Times New Roman"/>
          <w:sz w:val="24"/>
          <w:szCs w:val="24"/>
        </w:rPr>
        <w:t>前提交响应文件。</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一、项目基本情况</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1、项目编号：/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2、项目名称：南通市第三人民医院护理敏感指标及输血模块系统采购项目</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 xml:space="preserve">3、采购方式：□竞争性谈判 </w:t>
      </w:r>
      <w:r>
        <w:rPr>
          <w:rFonts w:hint="eastAsia" w:ascii="Times New Roman" w:hAnsi="Times New Roman" w:eastAsia="MS Mincho" w:cs="MS Mincho"/>
          <w:sz w:val="24"/>
          <w:szCs w:val="24"/>
        </w:rPr>
        <w:t>☑</w:t>
      </w:r>
      <w:r>
        <w:rPr>
          <w:rFonts w:hint="eastAsia" w:ascii="Times New Roman" w:hAnsi="Times New Roman" w:eastAsia="宋体" w:cs="宋体"/>
          <w:sz w:val="24"/>
          <w:szCs w:val="24"/>
        </w:rPr>
        <w:t>竞争性磋商 □询价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4、预算金额：约28万元</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5、最高限价：28万元</w:t>
      </w:r>
      <w:r>
        <w:rPr>
          <w:rFonts w:hint="eastAsia" w:ascii="Times New Roman" w:hAnsi="Times New Roman" w:eastAsia="宋体" w:cs="仿宋"/>
          <w:bCs/>
          <w:sz w:val="24"/>
          <w:szCs w:val="20"/>
        </w:rPr>
        <w:t>，报价超过最高限价的为无效响应文件；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采购需求：本次项目招标为输血管理系统与护理敏感指标统计平台建设项目。建设的具体内容包括：项目建设系统设计、开发、实施、运行维护以及相应的软件安装调试、系统集成、项目验收以及技术培训等，具体内容详见竞争性磋商文件第三章项目需求。</w:t>
      </w:r>
    </w:p>
    <w:p>
      <w:pPr>
        <w:spacing w:line="360" w:lineRule="auto"/>
        <w:ind w:firstLine="480" w:firstLineChars="200"/>
        <w:rPr>
          <w:rFonts w:ascii="Times New Roman" w:hAnsi="Times New Roman" w:eastAsia="宋体" w:cs="宋体"/>
          <w:sz w:val="24"/>
          <w:szCs w:val="24"/>
          <w:highlight w:val="yellow"/>
        </w:rPr>
      </w:pPr>
      <w:r>
        <w:rPr>
          <w:rFonts w:hint="eastAsia" w:ascii="Times New Roman" w:hAnsi="Times New Roman" w:eastAsia="宋体" w:cs="宋体"/>
          <w:sz w:val="24"/>
          <w:szCs w:val="24"/>
        </w:rPr>
        <w:t>7、合同履行期限：合同签订后6个月内完成系统上线运行。</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（1）供应商须具有独立法人资格，具有有效的三证合一的营业执照，有能力按本招标文件规定的要求提供招标物及提供相关伴随服务。</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2）法定代表人参加投标的，必须提供法定代表人身份证明及法定代表人本人身份证复印件；非法定代表人参加投标的，必须提供法定代表人签字或盖章的授权委托书、法定代表人本人身份证复印件及被授权人本人身份证复印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5、拒绝下述供应商参加本次采购活动：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（1）供应商单位负责人为同一人或者存在直接控股、管理关系的不同供应商，不得参加同一合同项下的政府采购活动。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（2）凡为采购项目提供整体设计、规范编制或者项目管理、监理、检测等服务的供应商，不得再参加本项目的采购活动。</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及投标报名</w:t>
      </w:r>
    </w:p>
    <w:p>
      <w:pPr>
        <w:spacing w:line="360" w:lineRule="auto"/>
        <w:ind w:firstLine="480" w:firstLineChars="200"/>
        <w:rPr>
          <w:rFonts w:ascii="Times New Roman" w:hAnsi="Times New Roman" w:eastAsia="宋体" w:cs="宋体"/>
          <w:sz w:val="24"/>
          <w:szCs w:val="24"/>
        </w:rPr>
      </w:pPr>
      <w:bookmarkStart w:id="2" w:name="_Toc28359082"/>
      <w:bookmarkStart w:id="3" w:name="_Toc35393793"/>
      <w:bookmarkStart w:id="4" w:name="_Toc35393624"/>
      <w:bookmarkStart w:id="5" w:name="_Toc28359005"/>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自本磋商公告发布之日起至2022年07月08日10时00分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3、售价：300元/份，随磋商响应文件递交，售后不退。</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4、报名方式：请有意参与本项目投标的供应商于2022年07月07日18时00分前至代理机构处报名，未报名单位不得参加本项目的投标。</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四、</w:t>
      </w:r>
      <w:bookmarkEnd w:id="2"/>
      <w:bookmarkEnd w:id="3"/>
      <w:bookmarkEnd w:id="4"/>
      <w:bookmarkEnd w:id="5"/>
      <w:r>
        <w:rPr>
          <w:rFonts w:hint="eastAsia" w:ascii="Times New Roman" w:hAnsi="Times New Roman" w:eastAsia="宋体" w:cs="宋体"/>
          <w:b/>
          <w:kern w:val="0"/>
          <w:sz w:val="24"/>
          <w:szCs w:val="24"/>
        </w:rPr>
        <w:t>响应文件提交</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1、提交响应文件截止时间：</w:t>
      </w:r>
      <w:r>
        <w:rPr>
          <w:rFonts w:hint="eastAsia" w:ascii="Times New Roman" w:hAnsi="Times New Roman" w:eastAsia="宋体" w:cs="宋体"/>
          <w:sz w:val="24"/>
          <w:szCs w:val="24"/>
          <w:u w:val="single"/>
        </w:rPr>
        <w:t>2022年07月08日10时00分</w:t>
      </w:r>
      <w:r>
        <w:rPr>
          <w:rFonts w:hint="eastAsia" w:ascii="Times New Roman" w:hAnsi="Times New Roman" w:eastAsia="宋体" w:cs="宋体"/>
          <w:sz w:val="24"/>
          <w:szCs w:val="24"/>
        </w:rPr>
        <w:t>（北京时间）。</w:t>
      </w:r>
      <w:r>
        <w:rPr>
          <w:rFonts w:hint="eastAsia" w:ascii="Times New Roman" w:hAnsi="Times New Roman" w:eastAsia="宋体"/>
          <w:sz w:val="24"/>
        </w:rPr>
        <w:t>逾时，采购人将拒绝接受响应文件纸质文档。</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2、提交响应文件地点：</w:t>
      </w:r>
      <w:r>
        <w:rPr>
          <w:rFonts w:hint="eastAsia" w:ascii="Times New Roman" w:hAnsi="Times New Roman" w:eastAsia="宋体" w:cs="宋体"/>
          <w:sz w:val="24"/>
          <w:szCs w:val="24"/>
          <w:u w:val="single"/>
        </w:rPr>
        <w:t>南通市第三人民医院</w:t>
      </w:r>
      <w:r>
        <w:rPr>
          <w:rFonts w:hint="eastAsia"/>
          <w:sz w:val="24"/>
          <w:szCs w:val="24"/>
          <w:u w:val="single"/>
        </w:rPr>
        <w:t>5</w:t>
      </w:r>
      <w:r>
        <w:rPr>
          <w:rFonts w:hint="eastAsia" w:ascii="Times New Roman" w:hAnsi="Times New Roman" w:eastAsia="宋体" w:cs="宋体"/>
          <w:sz w:val="24"/>
          <w:szCs w:val="24"/>
          <w:u w:val="single"/>
        </w:rPr>
        <w:t>号楼5楼会议室</w:t>
      </w:r>
      <w:r>
        <w:rPr>
          <w:rFonts w:hint="eastAsia" w:ascii="Times New Roman" w:hAnsi="Times New Roman" w:eastAsia="宋体" w:cs="宋体"/>
          <w:sz w:val="24"/>
          <w:szCs w:val="24"/>
        </w:rPr>
        <w:t>，如有变动另行通知。</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6" w:name="_Toc28359084"/>
      <w:bookmarkStart w:id="7" w:name="_Toc35393794"/>
      <w:bookmarkStart w:id="8" w:name="_Toc35393625"/>
      <w:bookmarkStart w:id="9" w:name="_Toc28359007"/>
      <w:r>
        <w:rPr>
          <w:rFonts w:hint="eastAsia" w:ascii="Times New Roman" w:hAnsi="Times New Roman" w:eastAsia="宋体" w:cs="宋体"/>
          <w:b/>
          <w:kern w:val="0"/>
          <w:sz w:val="24"/>
          <w:szCs w:val="24"/>
        </w:rPr>
        <w:t>五、开启</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2022年07月08日10时00分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2、地点：</w:t>
      </w:r>
      <w:r>
        <w:rPr>
          <w:rFonts w:hint="eastAsia" w:ascii="Times New Roman" w:hAnsi="Times New Roman" w:eastAsia="宋体" w:cs="宋体"/>
          <w:sz w:val="24"/>
          <w:szCs w:val="24"/>
          <w:u w:val="single"/>
        </w:rPr>
        <w:t>南通市第三人民医院5号楼5楼会议室</w:t>
      </w:r>
      <w:r>
        <w:rPr>
          <w:rFonts w:hint="eastAsia" w:ascii="Times New Roman" w:hAnsi="Times New Roman" w:eastAsia="宋体" w:cs="宋体"/>
          <w:sz w:val="24"/>
          <w:szCs w:val="24"/>
        </w:rPr>
        <w:t>。</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kern w:val="0"/>
          <w:sz w:val="24"/>
          <w:szCs w:val="24"/>
        </w:rPr>
        <w:t>自本公告发布之日起</w:t>
      </w:r>
      <w:r>
        <w:rPr>
          <w:rFonts w:hint="eastAsia" w:ascii="Times New Roman" w:hAnsi="Times New Roman" w:eastAsia="宋体" w:cs="宋体"/>
          <w:kern w:val="0"/>
          <w:sz w:val="24"/>
          <w:szCs w:val="24"/>
          <w:lang w:val="en-US" w:eastAsia="zh-CN"/>
        </w:rPr>
        <w:t>5</w:t>
      </w:r>
      <w:r>
        <w:rPr>
          <w:rFonts w:hint="eastAsia" w:ascii="Times New Roman" w:hAnsi="Times New Roman" w:eastAsia="宋体" w:cs="宋体"/>
          <w:kern w:val="0"/>
          <w:sz w:val="24"/>
          <w:szCs w:val="24"/>
        </w:rPr>
        <w:t>个工作日。</w:t>
      </w:r>
    </w:p>
    <w:p>
      <w:pPr>
        <w:spacing w:line="360" w:lineRule="auto"/>
        <w:ind w:firstLine="482" w:firstLineChars="200"/>
        <w:textAlignment w:val="baseline"/>
        <w:rPr>
          <w:rFonts w:ascii="Times New Roman" w:hAnsi="Times New Roman" w:eastAsia="宋体" w:cs="宋体"/>
          <w:bCs/>
          <w:sz w:val="24"/>
          <w:szCs w:val="24"/>
        </w:rPr>
      </w:pPr>
      <w:r>
        <w:rPr>
          <w:rFonts w:hint="eastAsia" w:ascii="Times New Roman" w:hAnsi="Times New Roman" w:eastAsia="宋体" w:cs="宋体"/>
          <w:b/>
          <w:bCs/>
          <w:sz w:val="24"/>
          <w:szCs w:val="24"/>
        </w:rPr>
        <w:t>七、</w:t>
      </w:r>
      <w:r>
        <w:rPr>
          <w:rFonts w:hint="eastAsia" w:ascii="Times New Roman" w:hAnsi="Times New Roman" w:eastAsia="宋体" w:cs="宋体"/>
          <w:b/>
          <w:sz w:val="24"/>
          <w:szCs w:val="24"/>
        </w:rPr>
        <w:t>其他补充事宜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1、本项目不收取磋商保证金，采购文件中涉及磋商保证金的事项，均按免收保证金执行。</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2、对项目需求部分（供应商其他资格要求、项目需求、评分标准）的询问、质疑请向采购人提出，由采购人负责答复；对</w:t>
      </w:r>
      <w:r>
        <w:rPr>
          <w:rFonts w:hint="eastAsia" w:ascii="Times New Roman" w:hAnsi="Times New Roman" w:eastAsia="宋体"/>
          <w:sz w:val="24"/>
          <w:szCs w:val="24"/>
        </w:rPr>
        <w:t>项目磋商文件</w:t>
      </w:r>
      <w:r>
        <w:rPr>
          <w:rFonts w:hint="eastAsia" w:ascii="Times New Roman" w:hAnsi="Times New Roman" w:eastAsia="宋体" w:cs="宋体"/>
          <w:sz w:val="24"/>
          <w:szCs w:val="24"/>
        </w:rPr>
        <w:t>其它部分的询问请向采购人或招标代理提出。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4、针对疫情防控期间，投标人须知事项：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各投标单位只允许委派一人参加投标，其余人员一律不得入内。疫情期间，参加投标的授权委托人应出具绿色的行程码和健康码，其中来自中高风险地区或健康码为黄码或红码的，投标文件不予以接收。如有隐瞒事实或弄虚作假者将根据法律法规追究相关责任。授权委托人须全程佩戴口罩，并配合防疫检查。对未佩戴口罩或体温异常或不配合防疫检查或未按规定提供相关证明材料者，一律禁止进入开标现场，且不得参加本项目的开标，后果自负。</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 xml:space="preserve">联系人：钱老师  </w:t>
      </w:r>
    </w:p>
    <w:p>
      <w:pPr>
        <w:spacing w:line="360" w:lineRule="auto"/>
        <w:ind w:firstLine="480" w:firstLineChars="200"/>
        <w:rPr>
          <w:rFonts w:hint="default" w:ascii="Times New Roman" w:hAnsi="Times New Roman" w:eastAsia="宋体" w:cs="宋体"/>
          <w:bCs/>
          <w:sz w:val="24"/>
          <w:lang w:val="en-US" w:eastAsia="zh-CN"/>
        </w:rPr>
      </w:pPr>
      <w:r>
        <w:rPr>
          <w:rFonts w:hint="eastAsia" w:ascii="Times New Roman" w:hAnsi="Times New Roman" w:eastAsia="宋体" w:cs="宋体"/>
          <w:bCs/>
          <w:sz w:val="24"/>
        </w:rPr>
        <w:t>联系电话：</w:t>
      </w:r>
      <w:r>
        <w:rPr>
          <w:rFonts w:hint="eastAsia" w:ascii="Times New Roman" w:hAnsi="Times New Roman" w:eastAsia="宋体" w:cs="宋体"/>
          <w:bCs/>
          <w:sz w:val="24"/>
          <w:lang w:val="en-US" w:eastAsia="zh-CN"/>
        </w:rPr>
        <w:t>0513-85116168</w:t>
      </w:r>
      <w:bookmarkStart w:id="18" w:name="_GoBack"/>
      <w:bookmarkEnd w:id="18"/>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widowControl/>
        <w:jc w:val="left"/>
        <w:rPr>
          <w:rFonts w:ascii="Times New Roman" w:hAnsi="Times New Roman" w:eastAsia="宋体" w:cs="Times New Roman"/>
          <w:b/>
          <w:w w:val="80"/>
          <w:kern w:val="44"/>
          <w:sz w:val="48"/>
          <w:szCs w:val="44"/>
        </w:rPr>
      </w:pPr>
      <w:r>
        <w:rPr>
          <w:rFonts w:ascii="Times New Roman" w:hAnsi="Times New Roman" w:eastAsia="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4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4、澄清或者修改的内容可能影响到响应文件编制的，代理机构应当在提交响应文件接收截止之日5个工作日前，发布澄清或者修改公告，不足5个工作日的，当顺延提交响应文件接收截止时间。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投标人应充分考虑服务实施期间各类市场价格和政策性价格调整因素，确定价格风险计入总报价，今后不作调整。（投标报价应包括完成本项目所需的一切费用，不限于采购货物或产品的材料费、设计开发费、安装调试、运行维护费、运输到指定地点的装运费用（含装卸力资）、相关安装辅助材料费、成品保护费、竣工测试费、验收费、检测费、技术培训费、售后服务计划及购买、代理服务费、税金、政策性文件规定及合同包含的所有风险、责任等所有预见和不可预见的费用。即招标物交付使用前的所有费用以及免保期内的服务费用等包含响应招标文件采购要求的所有费用；在安装、调试、验收过程中，如发现有漏项、缺件，部件不符，卖方应无条件、无偿补发，由此所发生的费用中标人自行承担。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1、磋商文件每套售价300元（现金），在递交磋商响应文件的同时提交给招标代理机构。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招标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十二、未尽事宜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jc w:val="left"/>
        <w:rPr>
          <w:rFonts w:ascii="Times New Roman" w:hAnsi="Times New Roman" w:eastAsia="宋体" w:cs="宋体"/>
          <w:b/>
          <w:w w:val="80"/>
          <w:kern w:val="44"/>
          <w:sz w:val="44"/>
          <w:szCs w:val="44"/>
        </w:rPr>
      </w:pPr>
    </w:p>
    <w:p>
      <w:pPr>
        <w:widowControl/>
        <w:jc w:val="left"/>
        <w:rPr>
          <w:rFonts w:ascii="Times New Roman" w:hAnsi="Times New Roman" w:eastAsia="宋体" w:cs="宋体"/>
          <w:b/>
          <w:w w:val="80"/>
          <w:kern w:val="44"/>
          <w:sz w:val="48"/>
          <w:szCs w:val="44"/>
        </w:rPr>
      </w:pP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请投标人在网上报名前和制作投标文件时仔细研究项目需求说明。</w:t>
      </w:r>
      <w:r>
        <w:rPr>
          <w:rFonts w:ascii="Times New Roman" w:hAnsi="Times New Roman" w:eastAsia="宋体" w:cs="Times New Roman"/>
          <w:kern w:val="0"/>
          <w:sz w:val="24"/>
          <w:szCs w:val="24"/>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pacing w:line="360" w:lineRule="auto"/>
        <w:ind w:firstLine="482" w:firstLineChars="200"/>
        <w:rPr>
          <w:rFonts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lang w:val="zh-CN"/>
        </w:rPr>
        <w:t>一、</w:t>
      </w:r>
      <w:r>
        <w:rPr>
          <w:rFonts w:hint="eastAsia" w:ascii="Times New Roman" w:hAnsi="Times New Roman" w:eastAsia="宋体" w:cs="Times New Roman"/>
          <w:b/>
          <w:bCs/>
          <w:kern w:val="0"/>
          <w:sz w:val="24"/>
          <w:szCs w:val="24"/>
        </w:rPr>
        <w:t>项目概述</w:t>
      </w:r>
    </w:p>
    <w:p>
      <w:pPr>
        <w:spacing w:line="360" w:lineRule="auto"/>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为了响应国家护理质量数据平台对三级以上医院开展护理质量数据调查工作以及深化我院移动护理的信息化建设，为做好我院数据的收集、上报，确保调研数据的有效性，经研究讨论决定在全院引用护理质量敏感指标统计系统及移动输血管理系统。</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二、采购需求内容</w:t>
      </w:r>
    </w:p>
    <w:p>
      <w:pPr>
        <w:spacing w:line="360" w:lineRule="auto"/>
        <w:ind w:firstLine="480" w:firstLineChars="200"/>
        <w:rPr>
          <w:rFonts w:ascii="Times New Roman" w:hAnsi="Times New Roman" w:eastAsia="宋体" w:cs="Times New Roman"/>
          <w:kern w:val="0"/>
          <w:sz w:val="24"/>
          <w:szCs w:val="24"/>
          <w:lang w:val="zh-CN"/>
        </w:rPr>
      </w:pPr>
      <w:r>
        <w:rPr>
          <w:rFonts w:hint="eastAsia" w:ascii="Times New Roman" w:hAnsi="Times New Roman" w:eastAsia="宋体" w:cs="Times New Roman"/>
          <w:kern w:val="0"/>
          <w:sz w:val="24"/>
          <w:szCs w:val="24"/>
          <w:lang w:val="zh-CN"/>
        </w:rPr>
        <w:t>本次项目招标为输血管理系统与护理敏感指标统计平台建设项目。建设的具体内容包括：项目建设系统设计、开发、实施、运行维护以及相应的软件安装调试、系统集成、项目验收以及技术培训，系统软件要求提供一年7*24小时的整体系统售后免费技术服务。</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1、采购清单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3402"/>
        <w:gridCol w:w="850"/>
        <w:gridCol w:w="85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tcPr>
          <w:p>
            <w:pPr>
              <w:spacing w:line="360" w:lineRule="auto"/>
              <w:jc w:val="center"/>
              <w:rPr>
                <w:b/>
                <w:sz w:val="24"/>
              </w:rPr>
            </w:pPr>
            <w:r>
              <w:rPr>
                <w:rFonts w:hint="eastAsia"/>
                <w:b/>
                <w:sz w:val="24"/>
              </w:rPr>
              <w:t>序号</w:t>
            </w:r>
          </w:p>
        </w:tc>
        <w:tc>
          <w:tcPr>
            <w:tcW w:w="3402" w:type="dxa"/>
          </w:tcPr>
          <w:p>
            <w:pPr>
              <w:spacing w:line="360" w:lineRule="auto"/>
              <w:jc w:val="center"/>
              <w:rPr>
                <w:b/>
                <w:sz w:val="24"/>
              </w:rPr>
            </w:pPr>
            <w:r>
              <w:rPr>
                <w:rFonts w:hint="eastAsia"/>
                <w:b/>
                <w:sz w:val="24"/>
              </w:rPr>
              <w:t>项目</w:t>
            </w:r>
          </w:p>
        </w:tc>
        <w:tc>
          <w:tcPr>
            <w:tcW w:w="850" w:type="dxa"/>
          </w:tcPr>
          <w:p>
            <w:pPr>
              <w:spacing w:line="360" w:lineRule="auto"/>
              <w:jc w:val="center"/>
              <w:rPr>
                <w:b/>
                <w:sz w:val="24"/>
              </w:rPr>
            </w:pPr>
            <w:r>
              <w:rPr>
                <w:rFonts w:hint="eastAsia"/>
                <w:b/>
                <w:sz w:val="24"/>
              </w:rPr>
              <w:t>数量</w:t>
            </w:r>
          </w:p>
        </w:tc>
        <w:tc>
          <w:tcPr>
            <w:tcW w:w="851" w:type="dxa"/>
          </w:tcPr>
          <w:p>
            <w:pPr>
              <w:spacing w:line="360" w:lineRule="auto"/>
              <w:jc w:val="center"/>
              <w:rPr>
                <w:b/>
                <w:sz w:val="24"/>
              </w:rPr>
            </w:pPr>
            <w:r>
              <w:rPr>
                <w:rFonts w:hint="eastAsia"/>
                <w:b/>
                <w:sz w:val="24"/>
              </w:rPr>
              <w:t>单位</w:t>
            </w:r>
          </w:p>
        </w:tc>
        <w:tc>
          <w:tcPr>
            <w:tcW w:w="2205" w:type="dxa"/>
          </w:tcPr>
          <w:p>
            <w:pPr>
              <w:spacing w:line="360" w:lineRule="auto"/>
              <w:jc w:val="center"/>
              <w:rPr>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tcPr>
          <w:p>
            <w:pPr>
              <w:spacing w:line="360" w:lineRule="auto"/>
              <w:jc w:val="center"/>
              <w:rPr>
                <w:sz w:val="24"/>
              </w:rPr>
            </w:pPr>
            <w:r>
              <w:rPr>
                <w:rFonts w:hint="eastAsia"/>
                <w:sz w:val="24"/>
              </w:rPr>
              <w:t>1</w:t>
            </w:r>
          </w:p>
        </w:tc>
        <w:tc>
          <w:tcPr>
            <w:tcW w:w="3402" w:type="dxa"/>
          </w:tcPr>
          <w:p>
            <w:pPr>
              <w:spacing w:line="360" w:lineRule="auto"/>
              <w:rPr>
                <w:sz w:val="24"/>
              </w:rPr>
            </w:pPr>
            <w:r>
              <w:rPr>
                <w:rFonts w:hint="eastAsia"/>
                <w:sz w:val="24"/>
              </w:rPr>
              <w:t>移动输血管理系统</w:t>
            </w:r>
          </w:p>
        </w:tc>
        <w:tc>
          <w:tcPr>
            <w:tcW w:w="850" w:type="dxa"/>
          </w:tcPr>
          <w:p>
            <w:pPr>
              <w:spacing w:line="360" w:lineRule="auto"/>
              <w:jc w:val="center"/>
              <w:rPr>
                <w:sz w:val="24"/>
              </w:rPr>
            </w:pPr>
            <w:r>
              <w:rPr>
                <w:rFonts w:hint="eastAsia"/>
                <w:sz w:val="24"/>
              </w:rPr>
              <w:t>1</w:t>
            </w:r>
          </w:p>
        </w:tc>
        <w:tc>
          <w:tcPr>
            <w:tcW w:w="851" w:type="dxa"/>
          </w:tcPr>
          <w:p>
            <w:pPr>
              <w:spacing w:line="360" w:lineRule="auto"/>
              <w:jc w:val="center"/>
              <w:rPr>
                <w:sz w:val="24"/>
              </w:rPr>
            </w:pPr>
            <w:r>
              <w:rPr>
                <w:rFonts w:hint="eastAsia"/>
                <w:sz w:val="24"/>
              </w:rPr>
              <w:t>套</w:t>
            </w:r>
          </w:p>
        </w:tc>
        <w:tc>
          <w:tcPr>
            <w:tcW w:w="2205"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tcPr>
          <w:p>
            <w:pPr>
              <w:spacing w:line="360" w:lineRule="auto"/>
              <w:jc w:val="center"/>
              <w:rPr>
                <w:sz w:val="24"/>
              </w:rPr>
            </w:pPr>
            <w:r>
              <w:rPr>
                <w:rFonts w:hint="eastAsia"/>
                <w:sz w:val="24"/>
              </w:rPr>
              <w:t>2</w:t>
            </w:r>
          </w:p>
        </w:tc>
        <w:tc>
          <w:tcPr>
            <w:tcW w:w="3402" w:type="dxa"/>
          </w:tcPr>
          <w:p>
            <w:pPr>
              <w:spacing w:line="360" w:lineRule="auto"/>
              <w:rPr>
                <w:sz w:val="24"/>
              </w:rPr>
            </w:pPr>
            <w:r>
              <w:rPr>
                <w:rFonts w:hint="eastAsia"/>
                <w:sz w:val="24"/>
              </w:rPr>
              <w:t>护理敏感指标统计平台</w:t>
            </w:r>
          </w:p>
        </w:tc>
        <w:tc>
          <w:tcPr>
            <w:tcW w:w="850" w:type="dxa"/>
          </w:tcPr>
          <w:p>
            <w:pPr>
              <w:spacing w:line="360" w:lineRule="auto"/>
              <w:jc w:val="center"/>
              <w:rPr>
                <w:sz w:val="24"/>
              </w:rPr>
            </w:pPr>
            <w:r>
              <w:rPr>
                <w:sz w:val="24"/>
              </w:rPr>
              <w:t>1</w:t>
            </w:r>
          </w:p>
        </w:tc>
        <w:tc>
          <w:tcPr>
            <w:tcW w:w="851" w:type="dxa"/>
          </w:tcPr>
          <w:p>
            <w:pPr>
              <w:spacing w:line="360" w:lineRule="auto"/>
              <w:jc w:val="center"/>
              <w:rPr>
                <w:sz w:val="24"/>
              </w:rPr>
            </w:pPr>
            <w:r>
              <w:rPr>
                <w:rFonts w:hint="eastAsia"/>
                <w:sz w:val="24"/>
              </w:rPr>
              <w:t>套</w:t>
            </w:r>
          </w:p>
        </w:tc>
        <w:tc>
          <w:tcPr>
            <w:tcW w:w="2205"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tcPr>
          <w:p>
            <w:pPr>
              <w:spacing w:line="360" w:lineRule="auto"/>
              <w:jc w:val="center"/>
              <w:rPr>
                <w:sz w:val="24"/>
              </w:rPr>
            </w:pPr>
            <w:r>
              <w:rPr>
                <w:rFonts w:hint="eastAsia"/>
                <w:sz w:val="24"/>
              </w:rPr>
              <w:t>3</w:t>
            </w:r>
          </w:p>
        </w:tc>
        <w:tc>
          <w:tcPr>
            <w:tcW w:w="3402" w:type="dxa"/>
          </w:tcPr>
          <w:p>
            <w:pPr>
              <w:spacing w:line="360" w:lineRule="auto"/>
              <w:rPr>
                <w:sz w:val="24"/>
              </w:rPr>
            </w:pPr>
            <w:r>
              <w:rPr>
                <w:rFonts w:hint="eastAsia"/>
                <w:sz w:val="24"/>
              </w:rPr>
              <w:t>移动护理系统升级</w:t>
            </w:r>
          </w:p>
        </w:tc>
        <w:tc>
          <w:tcPr>
            <w:tcW w:w="850" w:type="dxa"/>
          </w:tcPr>
          <w:p>
            <w:pPr>
              <w:spacing w:line="360" w:lineRule="auto"/>
              <w:jc w:val="center"/>
              <w:rPr>
                <w:sz w:val="24"/>
              </w:rPr>
            </w:pPr>
            <w:r>
              <w:rPr>
                <w:rFonts w:hint="eastAsia"/>
                <w:sz w:val="24"/>
              </w:rPr>
              <w:t>1</w:t>
            </w:r>
          </w:p>
        </w:tc>
        <w:tc>
          <w:tcPr>
            <w:tcW w:w="851" w:type="dxa"/>
          </w:tcPr>
          <w:p>
            <w:pPr>
              <w:spacing w:line="360" w:lineRule="auto"/>
              <w:jc w:val="center"/>
              <w:rPr>
                <w:sz w:val="24"/>
              </w:rPr>
            </w:pPr>
            <w:r>
              <w:rPr>
                <w:rFonts w:hint="eastAsia"/>
                <w:sz w:val="24"/>
              </w:rPr>
              <w:t>套</w:t>
            </w:r>
          </w:p>
        </w:tc>
        <w:tc>
          <w:tcPr>
            <w:tcW w:w="2205" w:type="dxa"/>
          </w:tcPr>
          <w:p>
            <w:pPr>
              <w:spacing w:line="360" w:lineRule="auto"/>
              <w:rPr>
                <w:sz w:val="24"/>
              </w:rPr>
            </w:pPr>
          </w:p>
        </w:tc>
      </w:tr>
    </w:tbl>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2、移动护理信息系统</w:t>
      </w:r>
    </w:p>
    <w:tbl>
      <w:tblPr>
        <w:tblStyle w:val="18"/>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701"/>
        <w:gridCol w:w="5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Align w:val="center"/>
          </w:tcPr>
          <w:p>
            <w:pPr>
              <w:jc w:val="center"/>
              <w:rPr>
                <w:rFonts w:asciiTheme="minorEastAsia" w:hAnsiTheme="minorEastAsia"/>
                <w:b/>
                <w:bCs/>
                <w:kern w:val="0"/>
                <w:lang w:val="zh-TW"/>
              </w:rPr>
            </w:pPr>
            <w:bookmarkStart w:id="10" w:name="_Hlk95921098"/>
            <w:r>
              <w:rPr>
                <w:rFonts w:hint="eastAsia" w:asciiTheme="minorEastAsia" w:hAnsiTheme="minorEastAsia"/>
                <w:b/>
                <w:bCs/>
                <w:kern w:val="0"/>
                <w:lang w:val="zh-TW"/>
              </w:rPr>
              <w:t>分类</w:t>
            </w:r>
          </w:p>
        </w:tc>
        <w:tc>
          <w:tcPr>
            <w:tcW w:w="1701" w:type="dxa"/>
            <w:vAlign w:val="center"/>
          </w:tcPr>
          <w:p>
            <w:pPr>
              <w:jc w:val="left"/>
              <w:rPr>
                <w:rFonts w:asciiTheme="minorEastAsia" w:hAnsiTheme="minorEastAsia"/>
                <w:kern w:val="0"/>
                <w:lang w:eastAsia="zh-TW"/>
              </w:rPr>
            </w:pPr>
            <w:r>
              <w:rPr>
                <w:rFonts w:hint="eastAsia" w:asciiTheme="minorEastAsia" w:hAnsiTheme="minorEastAsia"/>
                <w:b/>
                <w:bCs/>
                <w:kern w:val="0"/>
                <w:lang w:val="zh-TW"/>
              </w:rPr>
              <w:t>功能模块</w:t>
            </w:r>
          </w:p>
        </w:tc>
        <w:tc>
          <w:tcPr>
            <w:tcW w:w="5738" w:type="dxa"/>
            <w:vAlign w:val="center"/>
          </w:tcPr>
          <w:p>
            <w:pPr>
              <w:jc w:val="center"/>
              <w:rPr>
                <w:rFonts w:asciiTheme="minorEastAsia" w:hAnsiTheme="minorEastAsia"/>
                <w:b/>
                <w:bCs/>
                <w:kern w:val="0"/>
                <w:lang w:val="zh-TW" w:eastAsia="zh-TW"/>
              </w:rPr>
            </w:pPr>
            <w:r>
              <w:rPr>
                <w:rFonts w:hint="eastAsia" w:asciiTheme="minorEastAsia" w:hAnsiTheme="minorEastAsia"/>
                <w:b/>
                <w:bCs/>
                <w:kern w:val="0"/>
                <w:lang w:val="zh-TW"/>
              </w:rPr>
              <w:t>技术说明</w:t>
            </w:r>
          </w:p>
        </w:tc>
        <w:bookmarkStart w:id="11" w:name="_Hlk536389040"/>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restart"/>
            <w:vAlign w:val="center"/>
          </w:tcPr>
          <w:p>
            <w:pPr>
              <w:jc w:val="left"/>
            </w:pPr>
            <w:r>
              <w:rPr>
                <w:rFonts w:hint="eastAsia"/>
              </w:rPr>
              <w:t>基础功能</w:t>
            </w:r>
          </w:p>
        </w:tc>
        <w:tc>
          <w:tcPr>
            <w:tcW w:w="1701" w:type="dxa"/>
            <w:vAlign w:val="center"/>
          </w:tcPr>
          <w:p>
            <w:pPr>
              <w:jc w:val="left"/>
            </w:pPr>
            <w:r>
              <w:rPr>
                <w:rFonts w:hint="eastAsia"/>
              </w:rPr>
              <w:t>*病人床位列表</w:t>
            </w:r>
          </w:p>
        </w:tc>
        <w:tc>
          <w:tcPr>
            <w:tcW w:w="5738" w:type="dxa"/>
            <w:vAlign w:val="center"/>
          </w:tcPr>
          <w:p>
            <w:pPr>
              <w:jc w:val="left"/>
            </w:pPr>
            <w:r>
              <w:rPr>
                <w:rFonts w:hint="eastAsia"/>
              </w:rPr>
              <w:t>移动终端显示病人列表信息，支持条码扫描来识别病人,要求在移动终端上可方便进行护理单元的选择，同时可以切换全院病人和管辖病人。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*病人基本信息</w:t>
            </w:r>
          </w:p>
        </w:tc>
        <w:tc>
          <w:tcPr>
            <w:tcW w:w="5738" w:type="dxa"/>
            <w:vAlign w:val="center"/>
          </w:tcPr>
          <w:p>
            <w:pPr>
              <w:jc w:val="left"/>
            </w:pPr>
            <w:r>
              <w:rPr>
                <w:rFonts w:hint="eastAsia"/>
              </w:rPr>
              <w:t>根据护理规范显示病人的基本信息、护理信息、以及住院信息，危重级别和过敏信息等内容，针对新病人，高温病人，手术病人等应在病人列表上有显著的标志提醒，同时支持自定义警示标志。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*住院费用查询</w:t>
            </w:r>
          </w:p>
        </w:tc>
        <w:tc>
          <w:tcPr>
            <w:tcW w:w="5738" w:type="dxa"/>
            <w:vAlign w:val="center"/>
          </w:tcPr>
          <w:p>
            <w:pPr>
              <w:jc w:val="left"/>
            </w:pPr>
            <w:r>
              <w:rPr>
                <w:rFonts w:hint="eastAsia"/>
              </w:rPr>
              <w:t>在移动终端上要方便的体现病人已发生的住院费用、预交金、及剩余金额。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restart"/>
            <w:vAlign w:val="center"/>
          </w:tcPr>
          <w:p>
            <w:pPr>
              <w:jc w:val="left"/>
            </w:pPr>
            <w:r>
              <w:rPr>
                <w:rFonts w:hint="eastAsia"/>
              </w:rPr>
              <w:t>智能化护理任务</w:t>
            </w:r>
          </w:p>
        </w:tc>
        <w:tc>
          <w:tcPr>
            <w:tcW w:w="1701" w:type="dxa"/>
          </w:tcPr>
          <w:p>
            <w:pPr>
              <w:jc w:val="left"/>
            </w:pPr>
            <w:r>
              <w:rPr>
                <w:rFonts w:hint="eastAsia"/>
              </w:rPr>
              <w:t>护理任务生成</w:t>
            </w:r>
          </w:p>
        </w:tc>
        <w:tc>
          <w:tcPr>
            <w:tcW w:w="5738" w:type="dxa"/>
          </w:tcPr>
          <w:p>
            <w:pPr>
              <w:jc w:val="left"/>
            </w:pPr>
            <w:r>
              <w:t>根据临床医嘱逻辑自动生成护理计划内容(医嘱逻辑包含,基础护理、药品医嘱、等医嘱信息)</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*护理任务内容调整</w:t>
            </w:r>
          </w:p>
        </w:tc>
        <w:tc>
          <w:tcPr>
            <w:tcW w:w="5738" w:type="dxa"/>
            <w:vAlign w:val="center"/>
          </w:tcPr>
          <w:p>
            <w:pPr>
              <w:jc w:val="left"/>
            </w:pPr>
            <w:r>
              <w:t>基础护理计划内容可以根据患者实际病情由护理主管人员增减患者当天需执行的基础护理内容实现基础护理计划的灵活性</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*护理任务执行时间调整</w:t>
            </w:r>
          </w:p>
        </w:tc>
        <w:tc>
          <w:tcPr>
            <w:tcW w:w="5738" w:type="dxa"/>
            <w:vAlign w:val="center"/>
          </w:tcPr>
          <w:p>
            <w:pPr>
              <w:jc w:val="left"/>
            </w:pPr>
            <w:r>
              <w:t>可以根据患者的实际情况设置护理计划执行的频次，例如某项护理内容执行的时间节点可以根据需要进行</w:t>
            </w:r>
            <w:r>
              <w:rPr>
                <w:rFonts w:hint="eastAsia"/>
              </w:rPr>
              <w:t>调整</w:t>
            </w:r>
            <w:r>
              <w:t>。时间节点需以显著颜色提醒。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tcPr>
          <w:p>
            <w:pPr>
              <w:jc w:val="left"/>
            </w:pPr>
            <w:r>
              <w:rPr>
                <w:rFonts w:hint="eastAsia"/>
              </w:rPr>
              <w:t>护理任务措施内容</w:t>
            </w:r>
          </w:p>
        </w:tc>
        <w:tc>
          <w:tcPr>
            <w:tcW w:w="5738" w:type="dxa"/>
          </w:tcPr>
          <w:p>
            <w:pPr>
              <w:jc w:val="left"/>
            </w:pPr>
            <w:r>
              <w:t>根据护理规范对相应的医嘱设置具体的护理措施操作，提高护理质量。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tcPr>
          <w:p>
            <w:pPr>
              <w:jc w:val="left"/>
            </w:pPr>
            <w:r>
              <w:rPr>
                <w:rFonts w:hint="eastAsia"/>
              </w:rPr>
              <w:t>生成规则设置</w:t>
            </w:r>
          </w:p>
        </w:tc>
        <w:tc>
          <w:tcPr>
            <w:tcW w:w="5738" w:type="dxa"/>
          </w:tcPr>
          <w:p>
            <w:pPr>
              <w:jc w:val="left"/>
            </w:pPr>
            <w:r>
              <w:t>根据护理的实际规则生成相应的规则设置功能，支持自定义医嘱与护理计划</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*护理执行情况查询</w:t>
            </w:r>
          </w:p>
        </w:tc>
        <w:tc>
          <w:tcPr>
            <w:tcW w:w="5738" w:type="dxa"/>
            <w:vAlign w:val="center"/>
          </w:tcPr>
          <w:p>
            <w:pPr>
              <w:jc w:val="left"/>
            </w:pPr>
            <w:r>
              <w:rPr>
                <w:rFonts w:hint="eastAsia"/>
              </w:rPr>
              <w:t>支持查询最近时间段内的护理执行情况，实时了解哪些计划未执行，哪些计划延时，及时掌握护理执行情况。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*生命体征任务提醒</w:t>
            </w:r>
          </w:p>
        </w:tc>
        <w:tc>
          <w:tcPr>
            <w:tcW w:w="5738" w:type="dxa"/>
            <w:vAlign w:val="center"/>
          </w:tcPr>
          <w:p>
            <w:pPr>
              <w:jc w:val="left"/>
            </w:pPr>
            <w:r>
              <w:rPr>
                <w:rFonts w:hint="eastAsia"/>
              </w:rPr>
              <w:t>根据护理规范系统自动生成生命体征测量任务，及时提醒护理人员按时完成生命体征测量工作。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*评估类文书书写任务提醒</w:t>
            </w:r>
          </w:p>
        </w:tc>
        <w:tc>
          <w:tcPr>
            <w:tcW w:w="5738" w:type="dxa"/>
            <w:vAlign w:val="center"/>
          </w:tcPr>
          <w:p>
            <w:pPr>
              <w:jc w:val="left"/>
            </w:pPr>
            <w:r>
              <w:rPr>
                <w:rFonts w:hint="eastAsia"/>
              </w:rPr>
              <w:t>根据护理规范，系统自动生成入院评估单，压疮、跌倒、导管、疼痛等评估单的书写任务，及时提醒护理人员按时完成评估类文书的书写工作。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*手写签名功能</w:t>
            </w:r>
          </w:p>
        </w:tc>
        <w:tc>
          <w:tcPr>
            <w:tcW w:w="5738" w:type="dxa"/>
            <w:vAlign w:val="center"/>
          </w:tcPr>
          <w:p>
            <w:pPr>
              <w:jc w:val="left"/>
            </w:pPr>
            <w:r>
              <w:rPr>
                <w:rFonts w:hint="eastAsia"/>
              </w:rPr>
              <w:t>支持PDA屏幕手写签字。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restart"/>
            <w:vAlign w:val="center"/>
          </w:tcPr>
          <w:p>
            <w:pPr>
              <w:jc w:val="left"/>
            </w:pPr>
            <w:r>
              <w:rPr>
                <w:rFonts w:hint="eastAsia"/>
                <w:bCs/>
              </w:rPr>
              <w:t>生命体征数据采集</w:t>
            </w:r>
          </w:p>
        </w:tc>
        <w:tc>
          <w:tcPr>
            <w:tcW w:w="1701" w:type="dxa"/>
            <w:vAlign w:val="center"/>
          </w:tcPr>
          <w:p>
            <w:pPr>
              <w:jc w:val="left"/>
            </w:pPr>
            <w:r>
              <w:rPr>
                <w:rFonts w:hint="eastAsia"/>
              </w:rPr>
              <w:t>*体征数据采集</w:t>
            </w:r>
          </w:p>
        </w:tc>
        <w:tc>
          <w:tcPr>
            <w:tcW w:w="5738" w:type="dxa"/>
            <w:vAlign w:val="center"/>
          </w:tcPr>
          <w:p>
            <w:r>
              <w:t>护士能够通过移动终端在病人床旁实时采集记录病人的</w:t>
            </w:r>
            <w:r>
              <w:rPr>
                <w:rFonts w:hint="eastAsia"/>
              </w:rPr>
              <w:t>体温、脉搏、呼吸、心率、瞳孔、血压、大便次数、出入液量、血氧饱和度、疼痛、各种引流管、体重、各类住院事件等</w:t>
            </w:r>
            <w:r>
              <w:t>各项护理指标，</w:t>
            </w:r>
            <w:r>
              <w:rPr>
                <w:rFonts w:hint="eastAsia"/>
              </w:rPr>
              <w:t xml:space="preserve"> 各类事件，生命体征，中医类，儿童类，产科类，其它。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center"/>
            </w:pPr>
          </w:p>
        </w:tc>
        <w:tc>
          <w:tcPr>
            <w:tcW w:w="1701" w:type="dxa"/>
            <w:vAlign w:val="center"/>
          </w:tcPr>
          <w:p>
            <w:pPr>
              <w:jc w:val="left"/>
            </w:pPr>
            <w:r>
              <w:rPr>
                <w:rFonts w:hint="eastAsia"/>
              </w:rPr>
              <w:t>自动生成体温单</w:t>
            </w:r>
          </w:p>
        </w:tc>
        <w:tc>
          <w:tcPr>
            <w:tcW w:w="5738" w:type="dxa"/>
            <w:vAlign w:val="center"/>
          </w:tcPr>
          <w:p>
            <w:r>
              <w:rPr>
                <w:rFonts w:hint="eastAsia"/>
              </w:rPr>
              <w:t>根据采集到的体征数据，自动生成体温单。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*体征数据专用键盘</w:t>
            </w:r>
          </w:p>
        </w:tc>
        <w:tc>
          <w:tcPr>
            <w:tcW w:w="5738" w:type="dxa"/>
            <w:vAlign w:val="center"/>
          </w:tcPr>
          <w:p>
            <w:r>
              <w:rPr>
                <w:rFonts w:hint="eastAsia"/>
              </w:rPr>
              <w:t>通过专用的录入键盘，支持在床边实时记录病人的各项生命体征信息。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*体征数据批量采集</w:t>
            </w:r>
          </w:p>
        </w:tc>
        <w:tc>
          <w:tcPr>
            <w:tcW w:w="5738" w:type="dxa"/>
            <w:vAlign w:val="center"/>
          </w:tcPr>
          <w:p>
            <w:r>
              <w:t>能够实现批量采集</w:t>
            </w:r>
            <w:r>
              <w:rPr>
                <w:rFonts w:hint="eastAsia"/>
              </w:rPr>
              <w:t>体征信息</w:t>
            </w:r>
            <w:r>
              <w:t>的功能，</w:t>
            </w:r>
            <w:r>
              <w:rPr>
                <w:rFonts w:hint="eastAsia"/>
              </w:rPr>
              <w:t>可以根据不同的血压、脉搏、心跳、呼吸等类别批量</w:t>
            </w:r>
            <w:r>
              <w:t>采集记录病人的等各项护理指标</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*体征数据查询</w:t>
            </w:r>
          </w:p>
        </w:tc>
        <w:tc>
          <w:tcPr>
            <w:tcW w:w="5738" w:type="dxa"/>
            <w:vAlign w:val="center"/>
          </w:tcPr>
          <w:p>
            <w:r>
              <w:t>支持在移动终端上单个生命体征数据一段时间的趋势展现。</w:t>
            </w:r>
            <w:r>
              <w:rPr>
                <w:rFonts w:hint="eastAsia"/>
              </w:rPr>
              <w:t>同时也支持以体温单的形式展现。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*导管信息录入</w:t>
            </w:r>
          </w:p>
        </w:tc>
        <w:tc>
          <w:tcPr>
            <w:tcW w:w="5738" w:type="dxa"/>
            <w:vAlign w:val="center"/>
          </w:tcPr>
          <w:p>
            <w:r>
              <w:t>支持在移动终端上实现各类导管的选择和添加功能，同时支持导管对应部位的选择。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出入量24小时统计</w:t>
            </w:r>
          </w:p>
        </w:tc>
        <w:tc>
          <w:tcPr>
            <w:tcW w:w="5738" w:type="dxa"/>
            <w:vAlign w:val="center"/>
          </w:tcPr>
          <w:p>
            <w:r>
              <w:rPr>
                <w:rFonts w:hint="eastAsia"/>
              </w:rPr>
              <w:t>实现对病人的出入量24小时自动统计功能，具体统计时间根据护理的实际要求。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秒表功能</w:t>
            </w:r>
          </w:p>
        </w:tc>
        <w:tc>
          <w:tcPr>
            <w:tcW w:w="5738" w:type="dxa"/>
            <w:vAlign w:val="center"/>
          </w:tcPr>
          <w:p>
            <w:r>
              <w:rPr>
                <w:rFonts w:hint="eastAsia"/>
              </w:rPr>
              <w:t>提供秒表功能，为护理人员录入脉搏等体征信息提供方便。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*时间节点录入模式</w:t>
            </w:r>
          </w:p>
        </w:tc>
        <w:tc>
          <w:tcPr>
            <w:tcW w:w="5738" w:type="dxa"/>
            <w:vAlign w:val="center"/>
          </w:tcPr>
          <w:p>
            <w:r>
              <w:rPr>
                <w:rFonts w:hint="eastAsia"/>
              </w:rPr>
              <w:t>针对不同的科室及不同的病人，体征数据录入的时间节点需要根据实际情况可以切换，支持①准点模式、②24小时模式③自由时间模式④血糖模式。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体温单查询，打印</w:t>
            </w:r>
          </w:p>
        </w:tc>
        <w:tc>
          <w:tcPr>
            <w:tcW w:w="5738" w:type="dxa"/>
            <w:vAlign w:val="center"/>
          </w:tcPr>
          <w:p>
            <w:r>
              <w:rPr>
                <w:rFonts w:hint="eastAsia"/>
              </w:rPr>
              <w:t>提供病人体温单查询预览功能，在pc端可以进行体温单打印。系统支持自动提取无线体温采集系统数据并自动生成体温单。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restart"/>
            <w:vAlign w:val="center"/>
          </w:tcPr>
          <w:p>
            <w:pPr>
              <w:jc w:val="left"/>
            </w:pPr>
            <w:r>
              <w:rPr>
                <w:rFonts w:hint="eastAsia"/>
                <w:bCs/>
              </w:rPr>
              <w:t>条码管理</w:t>
            </w:r>
          </w:p>
        </w:tc>
        <w:tc>
          <w:tcPr>
            <w:tcW w:w="1701" w:type="dxa"/>
            <w:vAlign w:val="center"/>
          </w:tcPr>
          <w:p>
            <w:pPr>
              <w:jc w:val="left"/>
            </w:pPr>
            <w:r>
              <w:rPr>
                <w:rFonts w:hint="eastAsia"/>
              </w:rPr>
              <w:t>条码生成</w:t>
            </w:r>
          </w:p>
        </w:tc>
        <w:tc>
          <w:tcPr>
            <w:tcW w:w="5738" w:type="dxa"/>
          </w:tcPr>
          <w:p>
            <w:r>
              <w:t>实现根据病人的住院号，输液医嘱号等唯一标识，生成打印病人腕带、输液瓶签的条码信息，可以支持出入院处打印和病区内打印两种模式。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*病人腕带扫描识别</w:t>
            </w:r>
          </w:p>
        </w:tc>
        <w:tc>
          <w:tcPr>
            <w:tcW w:w="5738" w:type="dxa"/>
          </w:tcPr>
          <w:p>
            <w:r>
              <w:t>支持通过扫描病人腕带条码识别对应的病人情况，先扫描病人腕带再扫描药品条码，扫描病人腕带可直接进入医嘱执行界面，方便操作。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输液用药核对</w:t>
            </w:r>
          </w:p>
        </w:tc>
        <w:tc>
          <w:tcPr>
            <w:tcW w:w="5738" w:type="dxa"/>
            <w:vAlign w:val="center"/>
          </w:tcPr>
          <w:p>
            <w:r>
              <w:rPr>
                <w:rFonts w:hint="eastAsia"/>
              </w:rPr>
              <w:t>通过输液瓶贴条码的扫描，直接确认输液医嘱的执行情况，并且实时记录操作人员和操作时间，在输液扫描执行过程中支持输液滴速的录入。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*口服用药核对</w:t>
            </w:r>
          </w:p>
        </w:tc>
        <w:tc>
          <w:tcPr>
            <w:tcW w:w="5738" w:type="dxa"/>
            <w:vAlign w:val="center"/>
          </w:tcPr>
          <w:p>
            <w:r>
              <w:rPr>
                <w:rFonts w:hint="eastAsia"/>
              </w:rPr>
              <w:t>通过口服药袋条码的扫描，直接确认口服医嘱的执行情况，并且实时记录操作人员和操作时间。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床头卡打印</w:t>
            </w:r>
          </w:p>
        </w:tc>
        <w:tc>
          <w:tcPr>
            <w:tcW w:w="5738" w:type="dxa"/>
            <w:vAlign w:val="center"/>
          </w:tcPr>
          <w:p>
            <w:r>
              <w:rPr>
                <w:rFonts w:hint="eastAsia"/>
              </w:rPr>
              <w:t>支持打印病人床头卡功能，显示病人基本信息及二维条码信息。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护理巡视</w:t>
            </w:r>
          </w:p>
        </w:tc>
        <w:tc>
          <w:tcPr>
            <w:tcW w:w="5738" w:type="dxa"/>
            <w:vAlign w:val="center"/>
          </w:tcPr>
          <w:p>
            <w:r>
              <w:rPr>
                <w:rFonts w:hint="eastAsia"/>
              </w:rPr>
              <w:t>通过扫描患者二维码或房间二维码信息，记录护理巡视结果。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restart"/>
            <w:vAlign w:val="center"/>
          </w:tcPr>
          <w:p>
            <w:pPr>
              <w:jc w:val="left"/>
            </w:pPr>
            <w:r>
              <w:rPr>
                <w:rFonts w:hint="eastAsia"/>
                <w:bCs/>
              </w:rPr>
              <w:t>医嘱执行</w:t>
            </w:r>
          </w:p>
        </w:tc>
        <w:tc>
          <w:tcPr>
            <w:tcW w:w="1701" w:type="dxa"/>
            <w:vAlign w:val="center"/>
          </w:tcPr>
          <w:p>
            <w:pPr>
              <w:jc w:val="left"/>
            </w:pPr>
            <w:r>
              <w:rPr>
                <w:rFonts w:hint="eastAsia"/>
              </w:rPr>
              <w:t>*医嘱查看</w:t>
            </w:r>
          </w:p>
        </w:tc>
        <w:tc>
          <w:tcPr>
            <w:tcW w:w="5738" w:type="dxa"/>
            <w:vAlign w:val="center"/>
          </w:tcPr>
          <w:p>
            <w:r>
              <w:rPr>
                <w:rFonts w:hint="eastAsia"/>
              </w:rPr>
              <w:t>在终端上支持查看医生下达的医嘱信息。支持按照长期医嘱、临时医嘱区分选择，同时也支持根据有效医嘱，停止医嘱，新开医嘱等不同状态来区分选择。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*医嘱执行记录查看</w:t>
            </w:r>
          </w:p>
        </w:tc>
        <w:tc>
          <w:tcPr>
            <w:tcW w:w="5738" w:type="dxa"/>
            <w:vAlign w:val="center"/>
          </w:tcPr>
          <w:p>
            <w:r>
              <w:rPr>
                <w:rFonts w:hint="eastAsia"/>
              </w:rPr>
              <w:t>在移动端查看护士对于病人医嘱执行的相关记录，用于责任追溯。执行医嘱时，记录医嘱执行时间、执行护士等信息。可以根据已执行和未执行分开显示。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*输液巡视单查询</w:t>
            </w:r>
          </w:p>
        </w:tc>
        <w:tc>
          <w:tcPr>
            <w:tcW w:w="5738" w:type="dxa"/>
            <w:vAlign w:val="center"/>
          </w:tcPr>
          <w:p>
            <w:r>
              <w:rPr>
                <w:rFonts w:hint="eastAsia"/>
              </w:rPr>
              <w:t>按照病人用药的实际情况，对病人输液用药进行输液巡视单的查询打印。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*医嘱执行异常处理</w:t>
            </w:r>
          </w:p>
        </w:tc>
        <w:tc>
          <w:tcPr>
            <w:tcW w:w="5738" w:type="dxa"/>
            <w:vAlign w:val="center"/>
          </w:tcPr>
          <w:p>
            <w:r>
              <w:rPr>
                <w:rFonts w:hint="eastAsia"/>
              </w:rPr>
              <w:t>在移动终端上支持实现医嘱的异常流程处理，包括：停止及停止理由、继续执行、完成提醒功能。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*皮试医嘱处理</w:t>
            </w:r>
          </w:p>
        </w:tc>
        <w:tc>
          <w:tcPr>
            <w:tcW w:w="5738" w:type="dxa"/>
            <w:vAlign w:val="center"/>
          </w:tcPr>
          <w:p>
            <w:r>
              <w:rPr>
                <w:rFonts w:hint="eastAsia"/>
              </w:rPr>
              <w:t>针对皮试医嘱，在终端上执行皮试医嘱的同时可以添加皮试医嘱提醒功能，主动提醒护理人员观察皮试结果，并可记录阴性、阳性等皮试结果信息。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用药核对</w:t>
            </w:r>
          </w:p>
        </w:tc>
        <w:tc>
          <w:tcPr>
            <w:tcW w:w="5738" w:type="dxa"/>
            <w:vAlign w:val="center"/>
          </w:tcPr>
          <w:p>
            <w:r>
              <w:rPr>
                <w:rFonts w:hint="eastAsia"/>
              </w:rPr>
              <w:t>操作员在针剂、口服用药核对时先扫描病人腕带条码，再扫描药品上的条码，当两者匹配后继续用药；如不匹配进行提醒。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restart"/>
            <w:vAlign w:val="center"/>
          </w:tcPr>
          <w:p>
            <w:pPr>
              <w:ind w:right="29" w:rightChars="14"/>
              <w:jc w:val="left"/>
            </w:pPr>
            <w:r>
              <w:rPr>
                <w:rFonts w:hint="eastAsia"/>
                <w:bCs/>
              </w:rPr>
              <w:t>临床信息查询</w:t>
            </w:r>
          </w:p>
        </w:tc>
        <w:tc>
          <w:tcPr>
            <w:tcW w:w="1701" w:type="dxa"/>
            <w:vAlign w:val="center"/>
          </w:tcPr>
          <w:p>
            <w:pPr>
              <w:ind w:right="29" w:rightChars="14"/>
              <w:jc w:val="left"/>
              <w:rPr>
                <w:bCs/>
              </w:rPr>
            </w:pPr>
            <w:r>
              <w:rPr>
                <w:rFonts w:hint="eastAsia"/>
              </w:rPr>
              <w:t>住院信息查询</w:t>
            </w:r>
          </w:p>
        </w:tc>
        <w:tc>
          <w:tcPr>
            <w:tcW w:w="5738" w:type="dxa"/>
          </w:tcPr>
          <w:p>
            <w:pPr>
              <w:ind w:right="29" w:rightChars="14"/>
              <w:jc w:val="left"/>
              <w:rPr>
                <w:bCs/>
              </w:rPr>
            </w:pPr>
            <w:r>
              <w:t>实现移动终端查询病人基本情况，包括年龄、性别、费别、入院时间、诊断信息、总金额、预付金、可用余额等信息</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ind w:right="29" w:rightChars="14"/>
              <w:jc w:val="left"/>
            </w:pPr>
          </w:p>
        </w:tc>
        <w:tc>
          <w:tcPr>
            <w:tcW w:w="1701" w:type="dxa"/>
            <w:vAlign w:val="center"/>
          </w:tcPr>
          <w:p>
            <w:pPr>
              <w:ind w:right="29" w:rightChars="14"/>
              <w:jc w:val="left"/>
              <w:rPr>
                <w:bCs/>
              </w:rPr>
            </w:pPr>
            <w:r>
              <w:rPr>
                <w:rFonts w:hint="eastAsia"/>
              </w:rPr>
              <w:t>检验信息</w:t>
            </w:r>
          </w:p>
        </w:tc>
        <w:tc>
          <w:tcPr>
            <w:tcW w:w="5738" w:type="dxa"/>
          </w:tcPr>
          <w:p>
            <w:pPr>
              <w:ind w:right="29" w:rightChars="14"/>
              <w:jc w:val="left"/>
              <w:rPr>
                <w:bCs/>
              </w:rPr>
            </w:pPr>
            <w:r>
              <w:t>查看住院病人的检验报告，对异常值需以上、下箭头进行醒目的提醒，对危急值进行警示和处理。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ind w:right="29" w:rightChars="14"/>
              <w:jc w:val="left"/>
            </w:pPr>
          </w:p>
        </w:tc>
        <w:tc>
          <w:tcPr>
            <w:tcW w:w="1701" w:type="dxa"/>
            <w:vAlign w:val="center"/>
          </w:tcPr>
          <w:p>
            <w:pPr>
              <w:ind w:right="29" w:rightChars="14"/>
              <w:jc w:val="left"/>
              <w:rPr>
                <w:bCs/>
              </w:rPr>
            </w:pPr>
            <w:r>
              <w:rPr>
                <w:rFonts w:hint="eastAsia"/>
              </w:rPr>
              <w:t>检查信息</w:t>
            </w:r>
          </w:p>
        </w:tc>
        <w:tc>
          <w:tcPr>
            <w:tcW w:w="5738" w:type="dxa"/>
          </w:tcPr>
          <w:p>
            <w:pPr>
              <w:ind w:right="29" w:rightChars="14"/>
              <w:jc w:val="left"/>
              <w:rPr>
                <w:bCs/>
              </w:rPr>
            </w:pPr>
            <w:r>
              <w:t>可以查看住院病人的检查报告的文字内容。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ind w:right="29" w:rightChars="14"/>
              <w:jc w:val="left"/>
            </w:pPr>
          </w:p>
        </w:tc>
        <w:tc>
          <w:tcPr>
            <w:tcW w:w="1701" w:type="dxa"/>
            <w:vAlign w:val="center"/>
          </w:tcPr>
          <w:p>
            <w:pPr>
              <w:ind w:right="29" w:rightChars="14"/>
              <w:jc w:val="left"/>
              <w:rPr>
                <w:bCs/>
              </w:rPr>
            </w:pPr>
            <w:r>
              <w:rPr>
                <w:rFonts w:hint="eastAsia"/>
              </w:rPr>
              <w:t>手术信息查询</w:t>
            </w:r>
          </w:p>
        </w:tc>
        <w:tc>
          <w:tcPr>
            <w:tcW w:w="5738" w:type="dxa"/>
          </w:tcPr>
          <w:p>
            <w:pPr>
              <w:ind w:right="29" w:rightChars="14"/>
              <w:jc w:val="left"/>
              <w:rPr>
                <w:bCs/>
              </w:rPr>
            </w:pPr>
            <w:r>
              <w:t>实现移动终端查询病人的手术情况，内容包括申请时间、房间、台次等信息。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restart"/>
            <w:vAlign w:val="center"/>
          </w:tcPr>
          <w:p>
            <w:pPr>
              <w:jc w:val="left"/>
            </w:pPr>
            <w:r>
              <w:rPr>
                <w:rFonts w:hint="eastAsia"/>
                <w:bCs/>
              </w:rPr>
              <w:t>离线及同步功能</w:t>
            </w:r>
          </w:p>
        </w:tc>
        <w:tc>
          <w:tcPr>
            <w:tcW w:w="1701" w:type="dxa"/>
            <w:vAlign w:val="center"/>
          </w:tcPr>
          <w:p>
            <w:pPr>
              <w:jc w:val="left"/>
            </w:pPr>
            <w:r>
              <w:rPr>
                <w:rFonts w:hint="eastAsia"/>
              </w:rPr>
              <w:t>程序自动更新</w:t>
            </w:r>
          </w:p>
        </w:tc>
        <w:tc>
          <w:tcPr>
            <w:tcW w:w="5738" w:type="dxa"/>
            <w:vAlign w:val="center"/>
          </w:tcPr>
          <w:p>
            <w:r>
              <w:rPr>
                <w:rFonts w:hint="eastAsia"/>
              </w:rPr>
              <w:t>系统登录时自动检测版本情况，如果有更新版本则自动升级，同时支持手动升级功能。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*离线功能</w:t>
            </w:r>
          </w:p>
        </w:tc>
        <w:tc>
          <w:tcPr>
            <w:tcW w:w="5738" w:type="dxa"/>
            <w:vAlign w:val="center"/>
          </w:tcPr>
          <w:p>
            <w:r>
              <w:t>离线操作功能，手持终端软件能够支持离线操作，确保移动护理软件功能使用不受网络信号的制约。待一旦接入无线网络后自动同步数据。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*数据同步</w:t>
            </w:r>
          </w:p>
        </w:tc>
        <w:tc>
          <w:tcPr>
            <w:tcW w:w="5738" w:type="dxa"/>
            <w:vAlign w:val="center"/>
          </w:tcPr>
          <w:p>
            <w:r>
              <w:rPr>
                <w:rFonts w:hint="eastAsia"/>
              </w:rPr>
              <w:t>提供登录，计划，手工三种不同的同步方式，确保移动护理系统与HIS数据库中的信息一致，内容不局限于基本信息，医嘱，护理文书等。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6" w:type="dxa"/>
            <w:vMerge w:val="continue"/>
          </w:tcPr>
          <w:p>
            <w:pPr>
              <w:jc w:val="left"/>
            </w:pPr>
          </w:p>
        </w:tc>
        <w:tc>
          <w:tcPr>
            <w:tcW w:w="1701" w:type="dxa"/>
            <w:vAlign w:val="center"/>
          </w:tcPr>
          <w:p>
            <w:pPr>
              <w:jc w:val="left"/>
            </w:pPr>
            <w:r>
              <w:rPr>
                <w:rFonts w:hint="eastAsia"/>
              </w:rPr>
              <w:t>同步频率设置</w:t>
            </w:r>
          </w:p>
        </w:tc>
        <w:tc>
          <w:tcPr>
            <w:tcW w:w="5738" w:type="dxa"/>
            <w:vAlign w:val="center"/>
          </w:tcPr>
          <w:p>
            <w:r>
              <w:rPr>
                <w:rFonts w:hint="eastAsia"/>
              </w:rPr>
              <w:t>可根据临床需求，提供多种数据同步频率设置，如：即时、每3分钟、每</w:t>
            </w:r>
            <w:r>
              <w:t>5</w:t>
            </w:r>
            <w:r>
              <w:rPr>
                <w:rFonts w:hint="eastAsia"/>
              </w:rPr>
              <w:t>分钟、每</w:t>
            </w:r>
            <w:r>
              <w:t>10</w:t>
            </w:r>
            <w:r>
              <w:rPr>
                <w:rFonts w:hint="eastAsia"/>
              </w:rPr>
              <w:t>分钟等。</w:t>
            </w:r>
          </w:p>
        </w:tc>
      </w:tr>
      <w:bookmarkEnd w:id="11"/>
    </w:tbl>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3、移动护理文书系统</w:t>
      </w:r>
    </w:p>
    <w:tbl>
      <w:tblPr>
        <w:tblStyle w:val="18"/>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842"/>
        <w:gridCol w:w="5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center"/>
              <w:rPr>
                <w:rFonts w:asciiTheme="minorEastAsia" w:hAnsiTheme="minorEastAsia"/>
                <w:b/>
                <w:bCs/>
                <w:kern w:val="0"/>
                <w:lang w:val="zh-TW"/>
              </w:rPr>
            </w:pPr>
            <w:r>
              <w:rPr>
                <w:rFonts w:hint="eastAsia" w:asciiTheme="minorEastAsia" w:hAnsiTheme="minorEastAsia"/>
                <w:b/>
                <w:bCs/>
                <w:kern w:val="0"/>
                <w:lang w:val="zh-TW"/>
              </w:rPr>
              <w:t>分类</w:t>
            </w:r>
          </w:p>
        </w:tc>
        <w:tc>
          <w:tcPr>
            <w:tcW w:w="1842" w:type="dxa"/>
            <w:vAlign w:val="center"/>
          </w:tcPr>
          <w:p>
            <w:pPr>
              <w:jc w:val="center"/>
              <w:rPr>
                <w:rFonts w:asciiTheme="minorEastAsia" w:hAnsiTheme="minorEastAsia"/>
                <w:kern w:val="0"/>
                <w:lang w:eastAsia="zh-TW"/>
              </w:rPr>
            </w:pPr>
            <w:r>
              <w:rPr>
                <w:rFonts w:hint="eastAsia" w:asciiTheme="minorEastAsia" w:hAnsiTheme="minorEastAsia"/>
                <w:b/>
                <w:bCs/>
                <w:kern w:val="0"/>
                <w:lang w:val="zh-TW"/>
              </w:rPr>
              <w:t>功能模块</w:t>
            </w:r>
          </w:p>
        </w:tc>
        <w:tc>
          <w:tcPr>
            <w:tcW w:w="5747" w:type="dxa"/>
            <w:vAlign w:val="center"/>
          </w:tcPr>
          <w:p>
            <w:pPr>
              <w:jc w:val="center"/>
              <w:rPr>
                <w:rFonts w:asciiTheme="minorEastAsia" w:hAnsiTheme="minorEastAsia"/>
                <w:b/>
                <w:bCs/>
                <w:kern w:val="0"/>
                <w:lang w:val="zh-TW" w:eastAsia="zh-TW"/>
              </w:rPr>
            </w:pPr>
            <w:r>
              <w:rPr>
                <w:rFonts w:hint="eastAsia" w:asciiTheme="minorEastAsia" w:hAnsiTheme="minorEastAsia"/>
                <w:b/>
                <w:bCs/>
                <w:kern w:val="0"/>
                <w:lang w:val="zh-TW"/>
              </w:rPr>
              <w:t>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pPr>
              <w:jc w:val="left"/>
              <w:rPr>
                <w:sz w:val="28"/>
                <w:szCs w:val="28"/>
              </w:rPr>
            </w:pPr>
            <w:r>
              <w:rPr>
                <w:rFonts w:hint="eastAsia" w:asciiTheme="minorEastAsia" w:hAnsiTheme="minorEastAsia"/>
                <w:kern w:val="0"/>
                <w:lang w:val="zh-TW"/>
              </w:rPr>
              <w:t>基础功能</w:t>
            </w:r>
          </w:p>
        </w:tc>
        <w:tc>
          <w:tcPr>
            <w:tcW w:w="1842" w:type="dxa"/>
            <w:vAlign w:val="center"/>
          </w:tcPr>
          <w:p>
            <w:pPr>
              <w:jc w:val="left"/>
            </w:pPr>
            <w:r>
              <w:rPr>
                <w:rFonts w:hint="eastAsia"/>
              </w:rPr>
              <w:t>*结构化存贮</w:t>
            </w:r>
          </w:p>
        </w:tc>
        <w:tc>
          <w:tcPr>
            <w:tcW w:w="5747" w:type="dxa"/>
            <w:vAlign w:val="center"/>
          </w:tcPr>
          <w:p>
            <w:r>
              <w:rPr>
                <w:rFonts w:hint="eastAsia"/>
              </w:rPr>
              <w:t>以结构化方式，存贮表单信息，方便未来的数据分析。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Pr>
          <w:p>
            <w:pPr>
              <w:jc w:val="left"/>
            </w:pPr>
          </w:p>
        </w:tc>
        <w:tc>
          <w:tcPr>
            <w:tcW w:w="1842" w:type="dxa"/>
            <w:vAlign w:val="center"/>
          </w:tcPr>
          <w:p>
            <w:pPr>
              <w:jc w:val="left"/>
            </w:pPr>
            <w:r>
              <w:rPr>
                <w:rFonts w:hint="eastAsia"/>
              </w:rPr>
              <w:t>自定义表单</w:t>
            </w:r>
          </w:p>
        </w:tc>
        <w:tc>
          <w:tcPr>
            <w:tcW w:w="5747" w:type="dxa"/>
            <w:vAlign w:val="center"/>
          </w:tcPr>
          <w:p>
            <w:r>
              <w:rPr>
                <w:rFonts w:hint="eastAsia"/>
              </w:rPr>
              <w:t>表单的项目，可以自定义。适应表单变更、升级、科室差异化。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Pr>
          <w:p>
            <w:pPr>
              <w:jc w:val="left"/>
            </w:pPr>
          </w:p>
        </w:tc>
        <w:tc>
          <w:tcPr>
            <w:tcW w:w="1842" w:type="dxa"/>
            <w:vAlign w:val="center"/>
          </w:tcPr>
          <w:p>
            <w:pPr>
              <w:jc w:val="left"/>
            </w:pPr>
            <w:r>
              <w:t>动态界面</w:t>
            </w:r>
          </w:p>
        </w:tc>
        <w:tc>
          <w:tcPr>
            <w:tcW w:w="5747" w:type="dxa"/>
            <w:vAlign w:val="center"/>
          </w:tcPr>
          <w:p>
            <w:r>
              <w:rPr>
                <w:rFonts w:hint="eastAsia"/>
              </w:rPr>
              <w:t>动态生成界面控件，方便编辑。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Pr>
          <w:p>
            <w:pPr>
              <w:jc w:val="left"/>
            </w:pPr>
          </w:p>
        </w:tc>
        <w:tc>
          <w:tcPr>
            <w:tcW w:w="1842" w:type="dxa"/>
            <w:vAlign w:val="center"/>
          </w:tcPr>
          <w:p>
            <w:pPr>
              <w:jc w:val="left"/>
            </w:pPr>
            <w:r>
              <w:rPr>
                <w:rFonts w:hint="eastAsia"/>
              </w:rPr>
              <w:t>移动录入</w:t>
            </w:r>
          </w:p>
        </w:tc>
        <w:tc>
          <w:tcPr>
            <w:tcW w:w="5747" w:type="dxa"/>
            <w:vAlign w:val="center"/>
          </w:tcPr>
          <w:p>
            <w:r>
              <w:rPr>
                <w:rFonts w:hint="eastAsia"/>
              </w:rPr>
              <w:t>在移动终端上录入、编辑文书内容。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pPr>
              <w:jc w:val="left"/>
            </w:pPr>
            <w:r>
              <w:rPr>
                <w:rFonts w:hint="eastAsia"/>
              </w:rPr>
              <w:t>智能化及共享</w:t>
            </w:r>
          </w:p>
        </w:tc>
        <w:tc>
          <w:tcPr>
            <w:tcW w:w="1842" w:type="dxa"/>
            <w:vAlign w:val="center"/>
          </w:tcPr>
          <w:p>
            <w:pPr>
              <w:jc w:val="left"/>
            </w:pPr>
            <w:r>
              <w:rPr>
                <w:rFonts w:hint="eastAsia"/>
              </w:rPr>
              <w:t>*自动计分</w:t>
            </w:r>
          </w:p>
        </w:tc>
        <w:tc>
          <w:tcPr>
            <w:tcW w:w="5747" w:type="dxa"/>
            <w:vAlign w:val="center"/>
          </w:tcPr>
          <w:p>
            <w:r>
              <w:rPr>
                <w:rFonts w:hint="eastAsia"/>
              </w:rPr>
              <w:t>评估类文书，可按照表单中项目的选项，自动计算总分。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Pr>
          <w:p>
            <w:pPr>
              <w:jc w:val="left"/>
            </w:pPr>
          </w:p>
        </w:tc>
        <w:tc>
          <w:tcPr>
            <w:tcW w:w="1842" w:type="dxa"/>
            <w:vAlign w:val="center"/>
          </w:tcPr>
          <w:p>
            <w:pPr>
              <w:jc w:val="left"/>
            </w:pPr>
            <w:r>
              <w:rPr>
                <w:rFonts w:hint="eastAsia"/>
              </w:rPr>
              <w:t>*丰富的操作控件</w:t>
            </w:r>
          </w:p>
        </w:tc>
        <w:tc>
          <w:tcPr>
            <w:tcW w:w="5747" w:type="dxa"/>
            <w:vAlign w:val="center"/>
          </w:tcPr>
          <w:p>
            <w:pPr>
              <w:jc w:val="left"/>
            </w:pPr>
            <w:r>
              <w:rPr>
                <w:rFonts w:hint="eastAsia"/>
              </w:rPr>
              <w:t>提供丰富的表单项目控件，方便用户快速：</w:t>
            </w:r>
          </w:p>
          <w:p>
            <w:pPr>
              <w:numPr>
                <w:ilvl w:val="0"/>
                <w:numId w:val="1"/>
              </w:numPr>
              <w:spacing w:line="360" w:lineRule="auto"/>
              <w:jc w:val="left"/>
            </w:pPr>
            <w:r>
              <w:rPr>
                <w:rFonts w:hint="eastAsia"/>
              </w:rPr>
              <w:t>选择类：勾选、单选、多选、单选文本、多选文本</w:t>
            </w:r>
          </w:p>
          <w:p>
            <w:pPr>
              <w:numPr>
                <w:ilvl w:val="0"/>
                <w:numId w:val="1"/>
              </w:numPr>
              <w:spacing w:line="360" w:lineRule="auto"/>
              <w:jc w:val="left"/>
            </w:pPr>
            <w:r>
              <w:rPr>
                <w:rFonts w:hint="eastAsia"/>
              </w:rPr>
              <w:t>标准录入类：文本、数字</w:t>
            </w:r>
          </w:p>
          <w:p>
            <w:pPr>
              <w:numPr>
                <w:ilvl w:val="0"/>
                <w:numId w:val="1"/>
              </w:numPr>
              <w:spacing w:line="360" w:lineRule="auto"/>
              <w:jc w:val="left"/>
            </w:pPr>
            <w:r>
              <w:rPr>
                <w:rFonts w:hint="eastAsia"/>
              </w:rPr>
              <w:t>时间类：日期、时间、日期+时间</w:t>
            </w:r>
          </w:p>
          <w:p>
            <w:pPr>
              <w:numPr>
                <w:ilvl w:val="0"/>
                <w:numId w:val="1"/>
              </w:numPr>
              <w:spacing w:line="360" w:lineRule="auto"/>
              <w:jc w:val="left"/>
            </w:pPr>
            <w:r>
              <w:rPr>
                <w:rFonts w:hint="eastAsia"/>
              </w:rPr>
              <w:t>界面类：页签、分组</w:t>
            </w:r>
          </w:p>
          <w:p>
            <w:pPr>
              <w:numPr>
                <w:ilvl w:val="0"/>
                <w:numId w:val="1"/>
              </w:numPr>
              <w:spacing w:line="360" w:lineRule="auto"/>
              <w:jc w:val="left"/>
            </w:pPr>
            <w:r>
              <w:rPr>
                <w:rFonts w:hint="eastAsia"/>
              </w:rPr>
              <w:t>多媒体类：录音、拍照、图片</w:t>
            </w:r>
          </w:p>
          <w:p>
            <w:pPr>
              <w:numPr>
                <w:ilvl w:val="0"/>
                <w:numId w:val="1"/>
              </w:numPr>
              <w:spacing w:line="360" w:lineRule="auto"/>
              <w:jc w:val="left"/>
            </w:pPr>
            <w:r>
              <w:rPr>
                <w:rFonts w:hint="eastAsia"/>
              </w:rPr>
              <w:t>专用控件：条码扫描、手写签名、用户密码验证。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Pr>
          <w:p>
            <w:pPr>
              <w:jc w:val="left"/>
            </w:pPr>
          </w:p>
        </w:tc>
        <w:tc>
          <w:tcPr>
            <w:tcW w:w="1842" w:type="dxa"/>
            <w:vAlign w:val="center"/>
          </w:tcPr>
          <w:p>
            <w:pPr>
              <w:jc w:val="left"/>
            </w:pPr>
            <w:r>
              <w:rPr>
                <w:rFonts w:hint="eastAsia"/>
              </w:rPr>
              <w:t>*数据共享&amp;交互</w:t>
            </w:r>
          </w:p>
        </w:tc>
        <w:tc>
          <w:tcPr>
            <w:tcW w:w="5747" w:type="dxa"/>
            <w:vAlign w:val="center"/>
          </w:tcPr>
          <w:p>
            <w:pPr>
              <w:jc w:val="left"/>
            </w:pPr>
            <w:r>
              <w:rPr>
                <w:rFonts w:hint="eastAsia"/>
              </w:rPr>
              <w:t>实现已有数据的充分利用，减少护理人员的操作工作量：</w:t>
            </w:r>
          </w:p>
          <w:p>
            <w:pPr>
              <w:numPr>
                <w:ilvl w:val="0"/>
                <w:numId w:val="2"/>
              </w:numPr>
              <w:spacing w:line="360" w:lineRule="auto"/>
              <w:jc w:val="left"/>
            </w:pPr>
            <w:r>
              <w:rPr>
                <w:rFonts w:hint="eastAsia"/>
              </w:rPr>
              <w:t>调用其它系统的数据，如：体征、医嘱</w:t>
            </w:r>
          </w:p>
          <w:p>
            <w:pPr>
              <w:numPr>
                <w:ilvl w:val="0"/>
                <w:numId w:val="1"/>
              </w:numPr>
              <w:spacing w:line="360" w:lineRule="auto"/>
              <w:jc w:val="left"/>
            </w:pPr>
            <w:r>
              <w:rPr>
                <w:rFonts w:hint="eastAsia"/>
              </w:rPr>
              <w:t>护理措施等有文字录入内容的有相应的模板知识库支持，同时提供特殊字符快捷键。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Pr>
          <w:p>
            <w:pPr>
              <w:jc w:val="left"/>
            </w:pPr>
          </w:p>
        </w:tc>
        <w:tc>
          <w:tcPr>
            <w:tcW w:w="1842" w:type="dxa"/>
            <w:vAlign w:val="center"/>
          </w:tcPr>
          <w:p>
            <w:pPr>
              <w:jc w:val="left"/>
            </w:pPr>
            <w:r>
              <w:rPr>
                <w:rFonts w:hint="eastAsia"/>
              </w:rPr>
              <w:t>智能化计算</w:t>
            </w:r>
          </w:p>
        </w:tc>
        <w:tc>
          <w:tcPr>
            <w:tcW w:w="5747" w:type="dxa"/>
            <w:vAlign w:val="center"/>
          </w:tcPr>
          <w:p>
            <w:pPr>
              <w:jc w:val="left"/>
            </w:pPr>
            <w:r>
              <w:rPr>
                <w:rFonts w:hint="eastAsia"/>
              </w:rPr>
              <w:t>支持对护理文书中某些内容的自动处理：</w:t>
            </w:r>
          </w:p>
          <w:p>
            <w:pPr>
              <w:pStyle w:val="35"/>
              <w:numPr>
                <w:ilvl w:val="0"/>
                <w:numId w:val="3"/>
              </w:numPr>
              <w:spacing w:line="360" w:lineRule="auto"/>
              <w:ind w:firstLineChars="0"/>
              <w:jc w:val="left"/>
              <w:rPr>
                <w:rFonts w:cs="Times New Roman"/>
              </w:rPr>
            </w:pPr>
            <w:r>
              <w:rPr>
                <w:rFonts w:hint="eastAsia" w:cs="Times New Roman"/>
              </w:rPr>
              <w:t>出量自动合计（按天）</w:t>
            </w:r>
          </w:p>
          <w:p>
            <w:pPr>
              <w:pStyle w:val="35"/>
              <w:numPr>
                <w:ilvl w:val="0"/>
                <w:numId w:val="3"/>
              </w:numPr>
              <w:spacing w:line="360" w:lineRule="auto"/>
              <w:ind w:firstLineChars="0"/>
              <w:jc w:val="left"/>
              <w:rPr>
                <w:rFonts w:cs="Times New Roman"/>
              </w:rPr>
            </w:pPr>
            <w:r>
              <w:rPr>
                <w:rFonts w:hint="eastAsia" w:cs="Times New Roman"/>
              </w:rPr>
              <w:t>入量自动合计（按天）。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Pr>
          <w:p>
            <w:pPr>
              <w:jc w:val="left"/>
            </w:pPr>
          </w:p>
        </w:tc>
        <w:tc>
          <w:tcPr>
            <w:tcW w:w="1842" w:type="dxa"/>
            <w:vAlign w:val="center"/>
          </w:tcPr>
          <w:p>
            <w:pPr>
              <w:jc w:val="left"/>
            </w:pPr>
            <w:r>
              <w:rPr>
                <w:rFonts w:hint="eastAsia"/>
              </w:rPr>
              <w:t>支持复评（表单克隆）</w:t>
            </w:r>
          </w:p>
        </w:tc>
        <w:tc>
          <w:tcPr>
            <w:tcW w:w="5747" w:type="dxa"/>
            <w:vAlign w:val="center"/>
          </w:tcPr>
          <w:p>
            <w:r>
              <w:rPr>
                <w:rFonts w:hint="eastAsia"/>
              </w:rPr>
              <w:t>管理员查看某张表单的明细信息后，通过（表单克隆）功能生成新的评估表单，从而达到快速复评的效果。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left"/>
            </w:pPr>
            <w:r>
              <w:rPr>
                <w:rFonts w:hint="eastAsia"/>
                <w:bCs/>
              </w:rPr>
              <w:t>风险评估类文书</w:t>
            </w:r>
          </w:p>
        </w:tc>
        <w:tc>
          <w:tcPr>
            <w:tcW w:w="1842" w:type="dxa"/>
            <w:vAlign w:val="center"/>
          </w:tcPr>
          <w:p>
            <w:pPr>
              <w:jc w:val="left"/>
            </w:pPr>
            <w:r>
              <w:rPr>
                <w:rFonts w:hint="eastAsia"/>
              </w:rPr>
              <w:t>*风险评估类文书</w:t>
            </w:r>
          </w:p>
        </w:tc>
        <w:tc>
          <w:tcPr>
            <w:tcW w:w="5747" w:type="dxa"/>
            <w:vAlign w:val="center"/>
          </w:tcPr>
          <w:p>
            <w:pPr>
              <w:jc w:val="left"/>
            </w:pPr>
            <w:r>
              <w:rPr>
                <w:rFonts w:hint="eastAsia"/>
              </w:rPr>
              <w:t>包含：</w:t>
            </w:r>
          </w:p>
          <w:p>
            <w:pPr>
              <w:jc w:val="left"/>
            </w:pPr>
            <w:r>
              <w:rPr>
                <w:rFonts w:hint="eastAsia"/>
              </w:rPr>
              <w:t>入院评估单</w:t>
            </w:r>
          </w:p>
          <w:p>
            <w:pPr>
              <w:jc w:val="left"/>
            </w:pPr>
            <w:r>
              <w:rPr>
                <w:rFonts w:hint="eastAsia"/>
              </w:rPr>
              <w:t>压疮评估单</w:t>
            </w:r>
          </w:p>
          <w:p>
            <w:pPr>
              <w:jc w:val="left"/>
            </w:pPr>
            <w:r>
              <w:rPr>
                <w:rFonts w:hint="eastAsia"/>
              </w:rPr>
              <w:t>跌倒评估单</w:t>
            </w:r>
          </w:p>
          <w:p>
            <w:pPr>
              <w:jc w:val="left"/>
            </w:pPr>
            <w:r>
              <w:rPr>
                <w:rFonts w:hint="eastAsia"/>
              </w:rPr>
              <w:t>坠床评估单</w:t>
            </w:r>
          </w:p>
          <w:p>
            <w:pPr>
              <w:jc w:val="left"/>
            </w:pPr>
            <w:r>
              <w:rPr>
                <w:rFonts w:hint="eastAsia"/>
              </w:rPr>
              <w:t>疼痛评估单</w:t>
            </w:r>
          </w:p>
          <w:p>
            <w:pPr>
              <w:jc w:val="left"/>
            </w:pPr>
            <w:r>
              <w:rPr>
                <w:rFonts w:hint="eastAsia"/>
              </w:rPr>
              <w:t>导管评估单</w:t>
            </w:r>
          </w:p>
          <w:p>
            <w:pPr>
              <w:jc w:val="left"/>
            </w:pPr>
            <w:r>
              <w:rPr>
                <w:rFonts w:hint="eastAsia"/>
              </w:rPr>
              <w:t>分级护理评估单</w:t>
            </w:r>
          </w:p>
          <w:p>
            <w:r>
              <w:rPr>
                <w:rFonts w:hint="eastAsia"/>
              </w:rPr>
              <w:t>自理能力评估单等内容。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left"/>
            </w:pPr>
            <w:r>
              <w:rPr>
                <w:rFonts w:hint="eastAsia"/>
                <w:bCs/>
              </w:rPr>
              <w:t>入院评估单</w:t>
            </w:r>
          </w:p>
        </w:tc>
        <w:tc>
          <w:tcPr>
            <w:tcW w:w="1842" w:type="dxa"/>
            <w:vAlign w:val="center"/>
          </w:tcPr>
          <w:p>
            <w:pPr>
              <w:jc w:val="left"/>
            </w:pPr>
            <w:r>
              <w:rPr>
                <w:rFonts w:hint="eastAsia"/>
              </w:rPr>
              <w:t>*入院评估单</w:t>
            </w:r>
          </w:p>
        </w:tc>
        <w:tc>
          <w:tcPr>
            <w:tcW w:w="5747" w:type="dxa"/>
            <w:vAlign w:val="center"/>
          </w:tcPr>
          <w:p>
            <w:pPr>
              <w:jc w:val="left"/>
            </w:pPr>
            <w:r>
              <w:rPr>
                <w:rFonts w:hint="eastAsia"/>
              </w:rPr>
              <w:t>在病人入院时，对病人进行入院评估，填写入院评估单。内容包括：</w:t>
            </w:r>
          </w:p>
          <w:p>
            <w:pPr>
              <w:numPr>
                <w:ilvl w:val="0"/>
                <w:numId w:val="4"/>
              </w:numPr>
              <w:spacing w:line="360" w:lineRule="auto"/>
              <w:jc w:val="left"/>
            </w:pPr>
            <w:r>
              <w:rPr>
                <w:rFonts w:hint="eastAsia"/>
              </w:rPr>
              <w:t>患者资料</w:t>
            </w:r>
          </w:p>
          <w:p>
            <w:pPr>
              <w:numPr>
                <w:ilvl w:val="0"/>
                <w:numId w:val="4"/>
              </w:numPr>
              <w:spacing w:line="360" w:lineRule="auto"/>
              <w:jc w:val="left"/>
            </w:pPr>
            <w:r>
              <w:rPr>
                <w:rFonts w:hint="eastAsia"/>
              </w:rPr>
              <w:t>基本健康信息</w:t>
            </w:r>
          </w:p>
          <w:p>
            <w:pPr>
              <w:numPr>
                <w:ilvl w:val="0"/>
                <w:numId w:val="4"/>
              </w:numPr>
              <w:spacing w:line="360" w:lineRule="auto"/>
              <w:jc w:val="left"/>
            </w:pPr>
            <w:r>
              <w:rPr>
                <w:rFonts w:hint="eastAsia"/>
              </w:rPr>
              <w:t>体检信息</w:t>
            </w:r>
          </w:p>
          <w:p>
            <w:pPr>
              <w:numPr>
                <w:ilvl w:val="0"/>
                <w:numId w:val="4"/>
              </w:numPr>
              <w:spacing w:line="360" w:lineRule="auto"/>
              <w:jc w:val="left"/>
            </w:pPr>
            <w:r>
              <w:rPr>
                <w:rFonts w:hint="eastAsia"/>
              </w:rPr>
              <w:t>生活状态</w:t>
            </w:r>
          </w:p>
          <w:p>
            <w:pPr>
              <w:numPr>
                <w:ilvl w:val="0"/>
                <w:numId w:val="4"/>
              </w:numPr>
              <w:spacing w:line="360" w:lineRule="auto"/>
              <w:jc w:val="left"/>
            </w:pPr>
            <w:r>
              <w:rPr>
                <w:rFonts w:hint="eastAsia"/>
              </w:rPr>
              <w:t>各类风险评估等内容。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left"/>
            </w:pPr>
            <w:r>
              <w:rPr>
                <w:rFonts w:hint="eastAsia"/>
                <w:bCs/>
              </w:rPr>
              <w:t>健康宣教类文书</w:t>
            </w:r>
          </w:p>
        </w:tc>
        <w:tc>
          <w:tcPr>
            <w:tcW w:w="1842" w:type="dxa"/>
            <w:vAlign w:val="center"/>
          </w:tcPr>
          <w:p>
            <w:pPr>
              <w:jc w:val="left"/>
            </w:pPr>
            <w:r>
              <w:rPr>
                <w:rFonts w:hint="eastAsia"/>
              </w:rPr>
              <w:t>*健康宣教类</w:t>
            </w:r>
          </w:p>
        </w:tc>
        <w:tc>
          <w:tcPr>
            <w:tcW w:w="5747" w:type="dxa"/>
            <w:vAlign w:val="center"/>
          </w:tcPr>
          <w:p>
            <w:pPr>
              <w:jc w:val="left"/>
            </w:pPr>
            <w:r>
              <w:rPr>
                <w:rFonts w:hint="eastAsia"/>
              </w:rPr>
              <w:t>使用移动终端，对病人进行各类健康宣教，包含：</w:t>
            </w:r>
          </w:p>
          <w:p>
            <w:pPr>
              <w:jc w:val="left"/>
            </w:pPr>
            <w:r>
              <w:rPr>
                <w:rFonts w:hint="eastAsia"/>
              </w:rPr>
              <w:t>入院宣教</w:t>
            </w:r>
          </w:p>
          <w:p>
            <w:pPr>
              <w:jc w:val="left"/>
            </w:pPr>
            <w:r>
              <w:rPr>
                <w:rFonts w:hint="eastAsia"/>
              </w:rPr>
              <w:t>疾病指导</w:t>
            </w:r>
          </w:p>
          <w:p>
            <w:pPr>
              <w:jc w:val="left"/>
            </w:pPr>
            <w:r>
              <w:rPr>
                <w:rFonts w:hint="eastAsia"/>
              </w:rPr>
              <w:t>药物指导</w:t>
            </w:r>
          </w:p>
          <w:p>
            <w:pPr>
              <w:jc w:val="left"/>
            </w:pPr>
            <w:r>
              <w:rPr>
                <w:rFonts w:hint="eastAsia"/>
              </w:rPr>
              <w:t>检查指导</w:t>
            </w:r>
          </w:p>
          <w:p>
            <w:pPr>
              <w:jc w:val="left"/>
            </w:pPr>
            <w:r>
              <w:rPr>
                <w:rFonts w:hint="eastAsia"/>
              </w:rPr>
              <w:t>术前指导</w:t>
            </w:r>
          </w:p>
          <w:p>
            <w:pPr>
              <w:jc w:val="left"/>
            </w:pPr>
            <w:r>
              <w:rPr>
                <w:rFonts w:hint="eastAsia"/>
              </w:rPr>
              <w:t>术后指导</w:t>
            </w:r>
          </w:p>
          <w:p>
            <w:r>
              <w:rPr>
                <w:rFonts w:hint="eastAsia"/>
              </w:rPr>
              <w:t>出院及康复指导等内容。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left"/>
            </w:pPr>
            <w:r>
              <w:rPr>
                <w:rFonts w:hint="eastAsia"/>
              </w:rPr>
              <w:t>告知类文书</w:t>
            </w:r>
          </w:p>
        </w:tc>
        <w:tc>
          <w:tcPr>
            <w:tcW w:w="1842" w:type="dxa"/>
            <w:vAlign w:val="center"/>
          </w:tcPr>
          <w:p>
            <w:pPr>
              <w:jc w:val="left"/>
            </w:pPr>
            <w:r>
              <w:rPr>
                <w:rFonts w:hint="eastAsia"/>
              </w:rPr>
              <w:t>*告知类</w:t>
            </w:r>
          </w:p>
        </w:tc>
        <w:tc>
          <w:tcPr>
            <w:tcW w:w="5747" w:type="dxa"/>
            <w:vAlign w:val="center"/>
          </w:tcPr>
          <w:p>
            <w:pPr>
              <w:jc w:val="left"/>
            </w:pPr>
            <w:r>
              <w:rPr>
                <w:rFonts w:hint="eastAsia"/>
              </w:rPr>
              <w:t>包含：</w:t>
            </w:r>
          </w:p>
          <w:p>
            <w:pPr>
              <w:jc w:val="left"/>
            </w:pPr>
            <w:r>
              <w:rPr>
                <w:rFonts w:hint="eastAsia"/>
              </w:rPr>
              <w:t>安全措施告知</w:t>
            </w:r>
          </w:p>
          <w:p>
            <w:pPr>
              <w:jc w:val="left"/>
            </w:pPr>
            <w:r>
              <w:rPr>
                <w:rFonts w:hint="eastAsia"/>
              </w:rPr>
              <w:t>陪护告知</w:t>
            </w:r>
          </w:p>
          <w:p>
            <w:pPr>
              <w:jc w:val="left"/>
            </w:pPr>
            <w:r>
              <w:rPr>
                <w:rFonts w:hint="eastAsia"/>
              </w:rPr>
              <w:t>褥疮告知</w:t>
            </w:r>
          </w:p>
          <w:p>
            <w:pPr>
              <w:jc w:val="left"/>
            </w:pPr>
            <w:r>
              <w:rPr>
                <w:rFonts w:hint="eastAsia"/>
              </w:rPr>
              <w:t>各类置管病人告知书</w:t>
            </w:r>
          </w:p>
          <w:p>
            <w:pPr>
              <w:jc w:val="left"/>
            </w:pPr>
            <w:r>
              <w:rPr>
                <w:rFonts w:hint="eastAsia"/>
              </w:rPr>
              <w:t>使用自费医疗用品告知书</w:t>
            </w:r>
          </w:p>
          <w:p>
            <w:pPr>
              <w:jc w:val="left"/>
            </w:pPr>
            <w:r>
              <w:rPr>
                <w:rFonts w:hint="eastAsia"/>
              </w:rPr>
              <w:t>请假制度告知书</w:t>
            </w:r>
          </w:p>
          <w:p>
            <w:r>
              <w:rPr>
                <w:rFonts w:hint="eastAsia"/>
              </w:rPr>
              <w:t>生活安全告知等内容。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pPr>
              <w:jc w:val="left"/>
            </w:pPr>
            <w:r>
              <w:rPr>
                <w:rFonts w:hint="eastAsia"/>
              </w:rPr>
              <w:t>护理记录单</w:t>
            </w:r>
          </w:p>
        </w:tc>
        <w:tc>
          <w:tcPr>
            <w:tcW w:w="1842" w:type="dxa"/>
            <w:vAlign w:val="center"/>
          </w:tcPr>
          <w:p>
            <w:pPr>
              <w:jc w:val="left"/>
            </w:pPr>
            <w:r>
              <w:rPr>
                <w:rFonts w:hint="eastAsia"/>
              </w:rPr>
              <w:t>*一般护理</w:t>
            </w:r>
          </w:p>
        </w:tc>
        <w:tc>
          <w:tcPr>
            <w:tcW w:w="5747" w:type="dxa"/>
            <w:vAlign w:val="center"/>
          </w:tcPr>
          <w:p>
            <w:pPr>
              <w:jc w:val="left"/>
            </w:pPr>
            <w:r>
              <w:rPr>
                <w:rFonts w:hint="eastAsia"/>
              </w:rPr>
              <w:t>一般护理记录单</w:t>
            </w:r>
          </w:p>
          <w:p>
            <w:r>
              <w:rPr>
                <w:rFonts w:hint="eastAsia"/>
              </w:rPr>
              <w:t>护理巡视记录。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Pr>
          <w:p>
            <w:pPr>
              <w:jc w:val="left"/>
            </w:pPr>
          </w:p>
        </w:tc>
        <w:tc>
          <w:tcPr>
            <w:tcW w:w="1842" w:type="dxa"/>
            <w:vAlign w:val="center"/>
          </w:tcPr>
          <w:p>
            <w:pPr>
              <w:jc w:val="left"/>
            </w:pPr>
            <w:r>
              <w:rPr>
                <w:rFonts w:hint="eastAsia"/>
              </w:rPr>
              <w:t>*危重护理</w:t>
            </w:r>
          </w:p>
        </w:tc>
        <w:tc>
          <w:tcPr>
            <w:tcW w:w="5747" w:type="dxa"/>
            <w:vAlign w:val="center"/>
          </w:tcPr>
          <w:p>
            <w:r>
              <w:rPr>
                <w:rFonts w:hint="eastAsia"/>
              </w:rPr>
              <w:t>对待重症及特殊病区实现书写特殊护理记录单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Pr>
          <w:p>
            <w:pPr>
              <w:jc w:val="left"/>
            </w:pPr>
          </w:p>
        </w:tc>
        <w:tc>
          <w:tcPr>
            <w:tcW w:w="1842" w:type="dxa"/>
            <w:vAlign w:val="center"/>
          </w:tcPr>
          <w:p>
            <w:pPr>
              <w:jc w:val="left"/>
            </w:pPr>
            <w:r>
              <w:rPr>
                <w:rFonts w:hint="eastAsia"/>
              </w:rPr>
              <w:t>*特殊护理</w:t>
            </w:r>
          </w:p>
        </w:tc>
        <w:tc>
          <w:tcPr>
            <w:tcW w:w="5747" w:type="dxa"/>
            <w:vAlign w:val="center"/>
          </w:tcPr>
          <w:p>
            <w:pPr>
              <w:jc w:val="left"/>
            </w:pPr>
            <w:r>
              <w:rPr>
                <w:rFonts w:hint="eastAsia"/>
              </w:rPr>
              <w:t>褥疮护理记录单</w:t>
            </w:r>
          </w:p>
          <w:p>
            <w:r>
              <w:rPr>
                <w:rFonts w:hint="eastAsia"/>
              </w:rPr>
              <w:t>疼痛护理记录单。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restart"/>
            <w:vAlign w:val="center"/>
          </w:tcPr>
          <w:p>
            <w:pPr>
              <w:jc w:val="left"/>
            </w:pPr>
            <w:r>
              <w:rPr>
                <w:rFonts w:hint="eastAsia"/>
              </w:rPr>
              <w:t>专科类文书</w:t>
            </w:r>
          </w:p>
        </w:tc>
        <w:tc>
          <w:tcPr>
            <w:tcW w:w="1842" w:type="dxa"/>
            <w:vAlign w:val="center"/>
          </w:tcPr>
          <w:p>
            <w:pPr>
              <w:jc w:val="left"/>
            </w:pPr>
            <w:r>
              <w:rPr>
                <w:rFonts w:hint="eastAsia"/>
              </w:rPr>
              <w:t>内分泌科</w:t>
            </w:r>
          </w:p>
        </w:tc>
        <w:tc>
          <w:tcPr>
            <w:tcW w:w="5747" w:type="dxa"/>
            <w:vAlign w:val="center"/>
          </w:tcPr>
          <w:p>
            <w:r>
              <w:rPr>
                <w:rFonts w:hint="eastAsia"/>
              </w:rPr>
              <w:t>血糖检测记录。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Pr>
          <w:p>
            <w:pPr>
              <w:jc w:val="left"/>
            </w:pPr>
          </w:p>
        </w:tc>
        <w:tc>
          <w:tcPr>
            <w:tcW w:w="1842" w:type="dxa"/>
            <w:vAlign w:val="center"/>
          </w:tcPr>
          <w:p>
            <w:pPr>
              <w:jc w:val="left"/>
            </w:pPr>
            <w:r>
              <w:rPr>
                <w:rFonts w:hint="eastAsia"/>
              </w:rPr>
              <w:t>新生儿科</w:t>
            </w:r>
          </w:p>
        </w:tc>
        <w:tc>
          <w:tcPr>
            <w:tcW w:w="5747" w:type="dxa"/>
            <w:vAlign w:val="center"/>
          </w:tcPr>
          <w:p>
            <w:pPr>
              <w:jc w:val="left"/>
            </w:pPr>
            <w:r>
              <w:rPr>
                <w:rFonts w:hint="eastAsia"/>
              </w:rPr>
              <w:t>新生儿出生记录</w:t>
            </w:r>
          </w:p>
          <w:p>
            <w:r>
              <w:rPr>
                <w:rFonts w:hint="eastAsia"/>
              </w:rPr>
              <w:t>新生儿护理记录单。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Merge w:val="continue"/>
          </w:tcPr>
          <w:p>
            <w:pPr>
              <w:jc w:val="left"/>
            </w:pPr>
          </w:p>
        </w:tc>
        <w:tc>
          <w:tcPr>
            <w:tcW w:w="1842" w:type="dxa"/>
            <w:vAlign w:val="center"/>
          </w:tcPr>
          <w:p>
            <w:pPr>
              <w:jc w:val="left"/>
            </w:pPr>
            <w:r>
              <w:rPr>
                <w:rFonts w:hint="eastAsia"/>
              </w:rPr>
              <w:t>精神科</w:t>
            </w:r>
          </w:p>
        </w:tc>
        <w:tc>
          <w:tcPr>
            <w:tcW w:w="5747" w:type="dxa"/>
            <w:vAlign w:val="center"/>
          </w:tcPr>
          <w:p>
            <w:pPr>
              <w:jc w:val="left"/>
            </w:pPr>
            <w:r>
              <w:rPr>
                <w:rFonts w:hint="eastAsia"/>
              </w:rPr>
              <w:t>约束护理记录</w:t>
            </w:r>
          </w:p>
          <w:p>
            <w:pPr>
              <w:jc w:val="left"/>
            </w:pPr>
            <w:r>
              <w:rPr>
                <w:rFonts w:hint="eastAsia"/>
              </w:rPr>
              <w:t>出走记录</w:t>
            </w:r>
          </w:p>
          <w:p>
            <w:pPr>
              <w:jc w:val="left"/>
            </w:pPr>
            <w:r>
              <w:rPr>
                <w:rFonts w:hint="eastAsia"/>
              </w:rPr>
              <w:t>自杀记录</w:t>
            </w:r>
          </w:p>
          <w:p>
            <w:r>
              <w:rPr>
                <w:rFonts w:hint="eastAsia"/>
              </w:rPr>
              <w:t>暴力记录。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left"/>
            </w:pPr>
            <w:r>
              <w:rPr>
                <w:rFonts w:hint="eastAsia"/>
              </w:rPr>
              <w:t>其他</w:t>
            </w:r>
          </w:p>
        </w:tc>
        <w:tc>
          <w:tcPr>
            <w:tcW w:w="1842" w:type="dxa"/>
            <w:vAlign w:val="center"/>
          </w:tcPr>
          <w:p>
            <w:pPr>
              <w:jc w:val="left"/>
            </w:pPr>
            <w:r>
              <w:rPr>
                <w:rFonts w:hint="eastAsia"/>
              </w:rPr>
              <w:t>其他</w:t>
            </w:r>
          </w:p>
        </w:tc>
        <w:tc>
          <w:tcPr>
            <w:tcW w:w="5747" w:type="dxa"/>
            <w:vAlign w:val="center"/>
          </w:tcPr>
          <w:p>
            <w:pPr>
              <w:jc w:val="left"/>
            </w:pPr>
            <w:r>
              <w:rPr>
                <w:rFonts w:hint="eastAsia"/>
              </w:rPr>
              <w:t>其他专科类文书。</w:t>
            </w:r>
          </w:p>
        </w:tc>
      </w:tr>
    </w:tbl>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4、移动用血管理系统</w:t>
      </w:r>
    </w:p>
    <w:tbl>
      <w:tblPr>
        <w:tblStyle w:val="18"/>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984"/>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rPr>
            </w:pPr>
            <w:r>
              <w:rPr>
                <w:rFonts w:hint="eastAsia"/>
                <w:b/>
                <w:bCs/>
              </w:rPr>
              <w:t>分类</w:t>
            </w:r>
          </w:p>
        </w:tc>
        <w:tc>
          <w:tcPr>
            <w:tcW w:w="1984" w:type="dxa"/>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功能模块</w:t>
            </w:r>
          </w:p>
        </w:tc>
        <w:tc>
          <w:tcPr>
            <w:tcW w:w="5318" w:type="dxa"/>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rPr>
                <w:color w:val="0D0D0D"/>
              </w:rPr>
            </w:pPr>
            <w:r>
              <w:rPr>
                <w:rFonts w:hint="eastAsia"/>
                <w:color w:val="0D0D0D"/>
              </w:rPr>
              <w:t>*血库领血确认</w:t>
            </w:r>
          </w:p>
        </w:tc>
        <w:tc>
          <w:tcPr>
            <w:tcW w:w="1984" w:type="dxa"/>
            <w:vMerge w:val="restart"/>
            <w:shd w:val="clear" w:color="auto" w:fill="auto"/>
            <w:vAlign w:val="center"/>
          </w:tcPr>
          <w:p>
            <w:pPr>
              <w:rPr>
                <w:color w:val="0D0D0D"/>
              </w:rPr>
            </w:pPr>
            <w:r>
              <w:rPr>
                <w:rFonts w:hint="eastAsia"/>
                <w:color w:val="0D0D0D"/>
              </w:rPr>
              <w:t>血袋出库扫描确认</w:t>
            </w:r>
          </w:p>
        </w:tc>
        <w:tc>
          <w:tcPr>
            <w:tcW w:w="5318" w:type="dxa"/>
            <w:shd w:val="clear" w:color="auto" w:fill="auto"/>
            <w:vAlign w:val="center"/>
          </w:tcPr>
          <w:p>
            <w:pPr>
              <w:rPr>
                <w:color w:val="0D0D0D"/>
              </w:rPr>
            </w:pPr>
            <w:r>
              <w:rPr>
                <w:rFonts w:hint="eastAsia"/>
                <w:color w:val="0D0D0D"/>
              </w:rPr>
              <w:t>扫描血库血袋二维条码。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ind w:firstLine="210" w:firstLineChars="100"/>
              <w:rPr>
                <w:color w:val="0D0D0D"/>
              </w:rPr>
            </w:pPr>
          </w:p>
        </w:tc>
        <w:tc>
          <w:tcPr>
            <w:tcW w:w="1984" w:type="dxa"/>
            <w:vMerge w:val="continue"/>
            <w:shd w:val="clear" w:color="auto" w:fill="auto"/>
            <w:vAlign w:val="center"/>
          </w:tcPr>
          <w:p>
            <w:pPr>
              <w:ind w:firstLine="210" w:firstLineChars="100"/>
              <w:rPr>
                <w:color w:val="0D0D0D"/>
              </w:rPr>
            </w:pPr>
          </w:p>
        </w:tc>
        <w:tc>
          <w:tcPr>
            <w:tcW w:w="5318" w:type="dxa"/>
            <w:shd w:val="clear" w:color="auto" w:fill="auto"/>
            <w:vAlign w:val="center"/>
          </w:tcPr>
          <w:p>
            <w:pPr>
              <w:rPr>
                <w:color w:val="0D0D0D"/>
              </w:rPr>
            </w:pPr>
            <w:r>
              <w:rPr>
                <w:rFonts w:hint="eastAsia"/>
                <w:color w:val="0D0D0D"/>
              </w:rPr>
              <w:t>确认血袋输血信息，床号、姓名、性别、住院号、血型、血液品种、血量等相关信息。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ind w:firstLine="210" w:firstLineChars="100"/>
              <w:rPr>
                <w:color w:val="0D0D0D"/>
              </w:rPr>
            </w:pPr>
          </w:p>
        </w:tc>
        <w:tc>
          <w:tcPr>
            <w:tcW w:w="1984" w:type="dxa"/>
            <w:vMerge w:val="continue"/>
            <w:shd w:val="clear" w:color="auto" w:fill="auto"/>
            <w:vAlign w:val="center"/>
          </w:tcPr>
          <w:p>
            <w:pPr>
              <w:ind w:firstLine="210" w:firstLineChars="100"/>
              <w:rPr>
                <w:color w:val="0D0D0D"/>
              </w:rPr>
            </w:pPr>
          </w:p>
        </w:tc>
        <w:tc>
          <w:tcPr>
            <w:tcW w:w="5318" w:type="dxa"/>
            <w:shd w:val="clear" w:color="auto" w:fill="auto"/>
            <w:vAlign w:val="center"/>
          </w:tcPr>
          <w:p>
            <w:pPr>
              <w:rPr>
                <w:color w:val="0D0D0D"/>
              </w:rPr>
            </w:pPr>
            <w:r>
              <w:rPr>
                <w:rFonts w:hint="eastAsia"/>
                <w:color w:val="0D0D0D"/>
              </w:rPr>
              <w:t>异常信息报警，病人信息和输血信息不一致时，系统主动进行异常报警。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rPr>
                <w:color w:val="0D0D0D"/>
              </w:rPr>
            </w:pPr>
            <w:r>
              <w:rPr>
                <w:rFonts w:hint="eastAsia"/>
                <w:color w:val="0D0D0D"/>
              </w:rPr>
              <w:t>*病区确认领血</w:t>
            </w:r>
          </w:p>
        </w:tc>
        <w:tc>
          <w:tcPr>
            <w:tcW w:w="1984" w:type="dxa"/>
            <w:vMerge w:val="restart"/>
            <w:shd w:val="clear" w:color="auto" w:fill="auto"/>
            <w:vAlign w:val="center"/>
          </w:tcPr>
          <w:p>
            <w:pPr>
              <w:rPr>
                <w:color w:val="0D0D0D"/>
              </w:rPr>
            </w:pPr>
            <w:r>
              <w:rPr>
                <w:rFonts w:hint="eastAsia"/>
                <w:color w:val="0D0D0D"/>
              </w:rPr>
              <w:t>血袋入科扫描确认</w:t>
            </w:r>
          </w:p>
        </w:tc>
        <w:tc>
          <w:tcPr>
            <w:tcW w:w="5318" w:type="dxa"/>
            <w:shd w:val="clear" w:color="auto" w:fill="auto"/>
            <w:vAlign w:val="center"/>
          </w:tcPr>
          <w:p>
            <w:pPr>
              <w:rPr>
                <w:color w:val="0D0D0D"/>
              </w:rPr>
            </w:pPr>
            <w:r>
              <w:rPr>
                <w:rFonts w:hint="eastAsia"/>
                <w:color w:val="0D0D0D"/>
              </w:rPr>
              <w:t>当血袋到达病区后，操作员扫描血袋上的二维条码。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ind w:firstLine="210" w:firstLineChars="100"/>
              <w:rPr>
                <w:color w:val="0D0D0D"/>
              </w:rPr>
            </w:pPr>
          </w:p>
        </w:tc>
        <w:tc>
          <w:tcPr>
            <w:tcW w:w="1984" w:type="dxa"/>
            <w:vMerge w:val="continue"/>
            <w:shd w:val="clear" w:color="auto" w:fill="auto"/>
            <w:vAlign w:val="center"/>
          </w:tcPr>
          <w:p>
            <w:pPr>
              <w:ind w:firstLine="210" w:firstLineChars="100"/>
              <w:rPr>
                <w:color w:val="0D0D0D"/>
              </w:rPr>
            </w:pPr>
          </w:p>
        </w:tc>
        <w:tc>
          <w:tcPr>
            <w:tcW w:w="5318" w:type="dxa"/>
            <w:shd w:val="clear" w:color="auto" w:fill="auto"/>
            <w:vAlign w:val="center"/>
          </w:tcPr>
          <w:p>
            <w:pPr>
              <w:rPr>
                <w:color w:val="0D0D0D"/>
              </w:rPr>
            </w:pPr>
            <w:r>
              <w:rPr>
                <w:rFonts w:hint="eastAsia"/>
                <w:color w:val="0D0D0D"/>
              </w:rPr>
              <w:t>血袋入科接收，病区护士对血袋和病人信息进行核对，信息核对无误后进入“入科”状态。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ind w:firstLine="210" w:firstLineChars="100"/>
              <w:rPr>
                <w:color w:val="0D0D0D"/>
              </w:rPr>
            </w:pPr>
          </w:p>
        </w:tc>
        <w:tc>
          <w:tcPr>
            <w:tcW w:w="1984" w:type="dxa"/>
            <w:vMerge w:val="continue"/>
            <w:shd w:val="clear" w:color="auto" w:fill="auto"/>
            <w:vAlign w:val="center"/>
          </w:tcPr>
          <w:p>
            <w:pPr>
              <w:ind w:firstLine="210" w:firstLineChars="100"/>
              <w:rPr>
                <w:color w:val="0D0D0D"/>
              </w:rPr>
            </w:pPr>
          </w:p>
        </w:tc>
        <w:tc>
          <w:tcPr>
            <w:tcW w:w="5318" w:type="dxa"/>
            <w:shd w:val="clear" w:color="auto" w:fill="auto"/>
            <w:vAlign w:val="center"/>
          </w:tcPr>
          <w:p>
            <w:pPr>
              <w:rPr>
                <w:color w:val="0D0D0D"/>
              </w:rPr>
            </w:pPr>
            <w:r>
              <w:rPr>
                <w:rFonts w:hint="eastAsia"/>
                <w:color w:val="0D0D0D"/>
              </w:rPr>
              <w:t>血袋接收复核,由第二名护士再次对血袋和患者信息进行核对，实现输血信息双人核对。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ind w:firstLine="210" w:firstLineChars="100"/>
              <w:rPr>
                <w:color w:val="0D0D0D"/>
              </w:rPr>
            </w:pPr>
          </w:p>
        </w:tc>
        <w:tc>
          <w:tcPr>
            <w:tcW w:w="1984" w:type="dxa"/>
            <w:vMerge w:val="continue"/>
            <w:shd w:val="clear" w:color="auto" w:fill="auto"/>
            <w:vAlign w:val="center"/>
          </w:tcPr>
          <w:p>
            <w:pPr>
              <w:ind w:firstLine="210" w:firstLineChars="100"/>
              <w:rPr>
                <w:color w:val="0D0D0D"/>
              </w:rPr>
            </w:pPr>
          </w:p>
        </w:tc>
        <w:tc>
          <w:tcPr>
            <w:tcW w:w="5318" w:type="dxa"/>
            <w:shd w:val="clear" w:color="auto" w:fill="auto"/>
            <w:vAlign w:val="center"/>
          </w:tcPr>
          <w:p>
            <w:pPr>
              <w:rPr>
                <w:color w:val="0D0D0D"/>
              </w:rPr>
            </w:pPr>
            <w:r>
              <w:rPr>
                <w:rFonts w:hint="eastAsia"/>
                <w:color w:val="0D0D0D"/>
              </w:rPr>
              <w:t>记录复核人工号和密码，支持在复核信息的同时进行工号和密码匹配。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ind w:firstLine="210" w:firstLineChars="100"/>
              <w:rPr>
                <w:color w:val="0D0D0D"/>
              </w:rPr>
            </w:pPr>
          </w:p>
        </w:tc>
        <w:tc>
          <w:tcPr>
            <w:tcW w:w="1984" w:type="dxa"/>
            <w:vMerge w:val="continue"/>
            <w:shd w:val="clear" w:color="auto" w:fill="auto"/>
            <w:vAlign w:val="center"/>
          </w:tcPr>
          <w:p>
            <w:pPr>
              <w:ind w:firstLine="210" w:firstLineChars="100"/>
              <w:rPr>
                <w:color w:val="0D0D0D"/>
              </w:rPr>
            </w:pPr>
          </w:p>
        </w:tc>
        <w:tc>
          <w:tcPr>
            <w:tcW w:w="5318" w:type="dxa"/>
            <w:shd w:val="clear" w:color="auto" w:fill="auto"/>
            <w:vAlign w:val="center"/>
          </w:tcPr>
          <w:p>
            <w:pPr>
              <w:rPr>
                <w:color w:val="0D0D0D"/>
              </w:rPr>
            </w:pPr>
            <w:r>
              <w:rPr>
                <w:rFonts w:hint="eastAsia"/>
                <w:color w:val="0D0D0D"/>
              </w:rPr>
              <w:t>以不同的颜色区分血袋的入科状态。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rPr>
                <w:color w:val="0D0D0D"/>
              </w:rPr>
            </w:pPr>
            <w:r>
              <w:rPr>
                <w:rFonts w:hint="eastAsia"/>
                <w:color w:val="0D0D0D"/>
              </w:rPr>
              <w:t>*病人输血核对</w:t>
            </w:r>
          </w:p>
        </w:tc>
        <w:tc>
          <w:tcPr>
            <w:tcW w:w="1984" w:type="dxa"/>
            <w:vMerge w:val="restart"/>
            <w:shd w:val="clear" w:color="auto" w:fill="auto"/>
            <w:vAlign w:val="center"/>
          </w:tcPr>
          <w:p>
            <w:pPr>
              <w:rPr>
                <w:color w:val="0D0D0D"/>
              </w:rPr>
            </w:pPr>
            <w:r>
              <w:rPr>
                <w:rFonts w:hint="eastAsia"/>
                <w:color w:val="0D0D0D"/>
              </w:rPr>
              <w:t>病人输血扫描确认</w:t>
            </w:r>
          </w:p>
        </w:tc>
        <w:tc>
          <w:tcPr>
            <w:tcW w:w="5318" w:type="dxa"/>
            <w:shd w:val="clear" w:color="auto" w:fill="auto"/>
            <w:vAlign w:val="center"/>
          </w:tcPr>
          <w:p>
            <w:pPr>
              <w:rPr>
                <w:color w:val="0D0D0D"/>
              </w:rPr>
            </w:pPr>
            <w:r>
              <w:rPr>
                <w:rFonts w:hint="eastAsia"/>
                <w:color w:val="0D0D0D"/>
              </w:rPr>
              <w:t>扫描病人腕带二维条码，确认病人身份。扫描血袋二维条码，对病人和血袋在输血前进行核对，如两者信息不匹配，系统自动进行报警。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ind w:firstLine="210" w:firstLineChars="100"/>
              <w:rPr>
                <w:color w:val="0D0D0D"/>
              </w:rPr>
            </w:pPr>
          </w:p>
        </w:tc>
        <w:tc>
          <w:tcPr>
            <w:tcW w:w="1984" w:type="dxa"/>
            <w:vMerge w:val="continue"/>
            <w:shd w:val="clear" w:color="auto" w:fill="auto"/>
            <w:vAlign w:val="center"/>
          </w:tcPr>
          <w:p>
            <w:pPr>
              <w:ind w:firstLine="210" w:firstLineChars="100"/>
              <w:rPr>
                <w:color w:val="0D0D0D"/>
              </w:rPr>
            </w:pPr>
          </w:p>
        </w:tc>
        <w:tc>
          <w:tcPr>
            <w:tcW w:w="5318" w:type="dxa"/>
            <w:shd w:val="clear" w:color="auto" w:fill="auto"/>
            <w:vAlign w:val="center"/>
          </w:tcPr>
          <w:p>
            <w:pPr>
              <w:rPr>
                <w:color w:val="0D0D0D"/>
              </w:rPr>
            </w:pPr>
            <w:r>
              <w:rPr>
                <w:rFonts w:hint="eastAsia"/>
                <w:color w:val="0D0D0D"/>
              </w:rPr>
              <w:t>当病人和血袋信息核对无误后，点击输血，进入输血前的复核阶段。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ind w:firstLine="210" w:firstLineChars="100"/>
              <w:rPr>
                <w:color w:val="0D0D0D"/>
              </w:rPr>
            </w:pPr>
          </w:p>
        </w:tc>
        <w:tc>
          <w:tcPr>
            <w:tcW w:w="1984" w:type="dxa"/>
            <w:vMerge w:val="continue"/>
            <w:shd w:val="clear" w:color="auto" w:fill="auto"/>
            <w:vAlign w:val="center"/>
          </w:tcPr>
          <w:p>
            <w:pPr>
              <w:ind w:firstLine="210" w:firstLineChars="100"/>
              <w:rPr>
                <w:color w:val="0D0D0D"/>
              </w:rPr>
            </w:pPr>
          </w:p>
        </w:tc>
        <w:tc>
          <w:tcPr>
            <w:tcW w:w="5318" w:type="dxa"/>
            <w:shd w:val="clear" w:color="auto" w:fill="auto"/>
            <w:vAlign w:val="center"/>
          </w:tcPr>
          <w:p>
            <w:pPr>
              <w:rPr>
                <w:color w:val="0D0D0D"/>
              </w:rPr>
            </w:pPr>
            <w:r>
              <w:rPr>
                <w:rFonts w:hint="eastAsia"/>
                <w:color w:val="0D0D0D"/>
              </w:rPr>
              <w:t>输血复核，由第二名护士再次扫描患者腕带和血袋二维码，对病人和血袋信息进行二次复核。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ind w:firstLine="210" w:firstLineChars="100"/>
              <w:rPr>
                <w:color w:val="0D0D0D"/>
              </w:rPr>
            </w:pPr>
          </w:p>
        </w:tc>
        <w:tc>
          <w:tcPr>
            <w:tcW w:w="1984" w:type="dxa"/>
            <w:vMerge w:val="continue"/>
            <w:shd w:val="clear" w:color="auto" w:fill="auto"/>
            <w:vAlign w:val="center"/>
          </w:tcPr>
          <w:p>
            <w:pPr>
              <w:ind w:firstLine="210" w:firstLineChars="100"/>
              <w:rPr>
                <w:color w:val="0D0D0D"/>
              </w:rPr>
            </w:pPr>
          </w:p>
        </w:tc>
        <w:tc>
          <w:tcPr>
            <w:tcW w:w="5318" w:type="dxa"/>
            <w:shd w:val="clear" w:color="auto" w:fill="auto"/>
            <w:vAlign w:val="center"/>
          </w:tcPr>
          <w:p>
            <w:pPr>
              <w:rPr>
                <w:color w:val="0D0D0D"/>
              </w:rPr>
            </w:pPr>
            <w:r>
              <w:rPr>
                <w:rFonts w:hint="eastAsia"/>
                <w:color w:val="0D0D0D"/>
              </w:rPr>
              <w:t>记录复核人工号和密码，支持在复核信息的同时进行工号和密码匹配。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ind w:firstLine="210" w:firstLineChars="100"/>
              <w:rPr>
                <w:color w:val="0D0D0D"/>
              </w:rPr>
            </w:pPr>
          </w:p>
        </w:tc>
        <w:tc>
          <w:tcPr>
            <w:tcW w:w="1984" w:type="dxa"/>
            <w:vMerge w:val="continue"/>
            <w:shd w:val="clear" w:color="auto" w:fill="auto"/>
            <w:vAlign w:val="center"/>
          </w:tcPr>
          <w:p>
            <w:pPr>
              <w:ind w:firstLine="210" w:firstLineChars="100"/>
              <w:rPr>
                <w:color w:val="0D0D0D"/>
              </w:rPr>
            </w:pPr>
          </w:p>
        </w:tc>
        <w:tc>
          <w:tcPr>
            <w:tcW w:w="5318" w:type="dxa"/>
            <w:shd w:val="clear" w:color="auto" w:fill="auto"/>
            <w:vAlign w:val="center"/>
          </w:tcPr>
          <w:p>
            <w:pPr>
              <w:rPr>
                <w:color w:val="0D0D0D"/>
              </w:rPr>
            </w:pPr>
            <w:r>
              <w:rPr>
                <w:rFonts w:hint="eastAsia"/>
                <w:color w:val="0D0D0D"/>
              </w:rPr>
              <w:t>信息核对无误后，点击输血，进入输血状态。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rPr>
                <w:color w:val="0D0D0D"/>
              </w:rPr>
            </w:pPr>
            <w:r>
              <w:rPr>
                <w:rFonts w:hint="eastAsia"/>
                <w:color w:val="0D0D0D"/>
              </w:rPr>
              <w:t>*输血巡视</w:t>
            </w:r>
          </w:p>
        </w:tc>
        <w:tc>
          <w:tcPr>
            <w:tcW w:w="1984" w:type="dxa"/>
            <w:vMerge w:val="restart"/>
            <w:shd w:val="clear" w:color="auto" w:fill="auto"/>
            <w:vAlign w:val="center"/>
          </w:tcPr>
          <w:p>
            <w:pPr>
              <w:rPr>
                <w:color w:val="0D0D0D"/>
              </w:rPr>
            </w:pPr>
            <w:r>
              <w:rPr>
                <w:rFonts w:hint="eastAsia"/>
                <w:color w:val="0D0D0D"/>
              </w:rPr>
              <w:t>输血巡视</w:t>
            </w:r>
          </w:p>
        </w:tc>
        <w:tc>
          <w:tcPr>
            <w:tcW w:w="5318" w:type="dxa"/>
            <w:shd w:val="clear" w:color="auto" w:fill="auto"/>
            <w:vAlign w:val="center"/>
          </w:tcPr>
          <w:p>
            <w:pPr>
              <w:rPr>
                <w:color w:val="0D0D0D"/>
              </w:rPr>
            </w:pPr>
            <w:r>
              <w:rPr>
                <w:rFonts w:hint="eastAsia"/>
                <w:color w:val="0D0D0D"/>
              </w:rPr>
              <w:t>在输血巡视阶段中，扫描病人腕带。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ind w:firstLine="210" w:firstLineChars="100"/>
              <w:rPr>
                <w:color w:val="0D0D0D"/>
              </w:rPr>
            </w:pPr>
          </w:p>
        </w:tc>
        <w:tc>
          <w:tcPr>
            <w:tcW w:w="1984" w:type="dxa"/>
            <w:vMerge w:val="continue"/>
            <w:shd w:val="clear" w:color="auto" w:fill="auto"/>
            <w:vAlign w:val="center"/>
          </w:tcPr>
          <w:p>
            <w:pPr>
              <w:ind w:firstLine="210" w:firstLineChars="100"/>
              <w:rPr>
                <w:color w:val="0D0D0D"/>
              </w:rPr>
            </w:pPr>
          </w:p>
        </w:tc>
        <w:tc>
          <w:tcPr>
            <w:tcW w:w="5318" w:type="dxa"/>
            <w:shd w:val="clear" w:color="auto" w:fill="auto"/>
            <w:vAlign w:val="center"/>
          </w:tcPr>
          <w:p>
            <w:pPr>
              <w:rPr>
                <w:color w:val="0D0D0D"/>
              </w:rPr>
            </w:pPr>
            <w:r>
              <w:rPr>
                <w:rFonts w:hint="eastAsia"/>
                <w:color w:val="0D0D0D"/>
              </w:rPr>
              <w:t>根据病人在输血的过程中，录入相关的输血巡视单，自动生成输血巡视单。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ind w:firstLine="210" w:firstLineChars="100"/>
              <w:rPr>
                <w:color w:val="0D0D0D"/>
              </w:rPr>
            </w:pPr>
          </w:p>
        </w:tc>
        <w:tc>
          <w:tcPr>
            <w:tcW w:w="1984" w:type="dxa"/>
            <w:vMerge w:val="continue"/>
            <w:shd w:val="clear" w:color="auto" w:fill="auto"/>
            <w:vAlign w:val="center"/>
          </w:tcPr>
          <w:p>
            <w:pPr>
              <w:ind w:firstLine="210" w:firstLineChars="100"/>
              <w:rPr>
                <w:color w:val="0D0D0D"/>
              </w:rPr>
            </w:pPr>
          </w:p>
        </w:tc>
        <w:tc>
          <w:tcPr>
            <w:tcW w:w="5318" w:type="dxa"/>
            <w:shd w:val="clear" w:color="auto" w:fill="auto"/>
            <w:vAlign w:val="center"/>
          </w:tcPr>
          <w:p>
            <w:pPr>
              <w:rPr>
                <w:color w:val="0D0D0D"/>
              </w:rPr>
            </w:pPr>
            <w:r>
              <w:rPr>
                <w:rFonts w:hint="eastAsia"/>
                <w:color w:val="0D0D0D"/>
              </w:rPr>
              <w:t>在巡视过程中点击巡查按钮，实时记录输血巡查的时间节点。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rPr>
                <w:color w:val="0D0D0D"/>
              </w:rPr>
            </w:pPr>
            <w:r>
              <w:rPr>
                <w:rFonts w:hint="eastAsia"/>
                <w:color w:val="0D0D0D"/>
              </w:rPr>
              <w:t>血袋回收及结束</w:t>
            </w:r>
          </w:p>
        </w:tc>
        <w:tc>
          <w:tcPr>
            <w:tcW w:w="1984" w:type="dxa"/>
            <w:vMerge w:val="restart"/>
            <w:shd w:val="clear" w:color="auto" w:fill="auto"/>
            <w:vAlign w:val="center"/>
          </w:tcPr>
          <w:p>
            <w:pPr>
              <w:rPr>
                <w:color w:val="0D0D0D"/>
              </w:rPr>
            </w:pPr>
            <w:r>
              <w:rPr>
                <w:rFonts w:hint="eastAsia"/>
                <w:color w:val="0D0D0D"/>
              </w:rPr>
              <w:t>血袋回收及结束</w:t>
            </w:r>
          </w:p>
        </w:tc>
        <w:tc>
          <w:tcPr>
            <w:tcW w:w="5318" w:type="dxa"/>
            <w:shd w:val="clear" w:color="auto" w:fill="auto"/>
            <w:vAlign w:val="center"/>
          </w:tcPr>
          <w:p>
            <w:pPr>
              <w:rPr>
                <w:color w:val="0D0D0D"/>
              </w:rPr>
            </w:pPr>
            <w:r>
              <w:rPr>
                <w:rFonts w:hint="eastAsia"/>
                <w:color w:val="0D0D0D"/>
              </w:rPr>
              <w:t>输血结束后扫描病人腕带，进入血袋回收及结束阶段。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tcPr>
          <w:p>
            <w:pPr>
              <w:ind w:firstLine="210" w:firstLineChars="100"/>
              <w:rPr>
                <w:color w:val="0D0D0D"/>
              </w:rPr>
            </w:pPr>
          </w:p>
        </w:tc>
        <w:tc>
          <w:tcPr>
            <w:tcW w:w="1984" w:type="dxa"/>
            <w:vMerge w:val="continue"/>
            <w:shd w:val="clear" w:color="auto" w:fill="auto"/>
            <w:vAlign w:val="center"/>
          </w:tcPr>
          <w:p>
            <w:pPr>
              <w:ind w:firstLine="210" w:firstLineChars="100"/>
              <w:rPr>
                <w:color w:val="0D0D0D"/>
              </w:rPr>
            </w:pPr>
          </w:p>
        </w:tc>
        <w:tc>
          <w:tcPr>
            <w:tcW w:w="5318" w:type="dxa"/>
            <w:shd w:val="clear" w:color="auto" w:fill="auto"/>
            <w:vAlign w:val="center"/>
          </w:tcPr>
          <w:p>
            <w:pPr>
              <w:rPr>
                <w:color w:val="0D0D0D"/>
              </w:rPr>
            </w:pPr>
            <w:r>
              <w:rPr>
                <w:rFonts w:hint="eastAsia"/>
                <w:color w:val="0D0D0D"/>
              </w:rPr>
              <w:t>完成输血后，点击回收进入结束状态，同时记录结束时间。</w:t>
            </w:r>
          </w:p>
        </w:tc>
      </w:tr>
    </w:tbl>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5、护理敏感指标统计平台</w:t>
      </w:r>
    </w:p>
    <w:tbl>
      <w:tblPr>
        <w:tblStyle w:val="18"/>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842"/>
        <w:gridCol w:w="5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rPr>
            </w:pPr>
            <w:r>
              <w:rPr>
                <w:rFonts w:hint="eastAsia"/>
                <w:b/>
                <w:bCs/>
              </w:rPr>
              <w:t>分类</w:t>
            </w:r>
          </w:p>
        </w:tc>
        <w:tc>
          <w:tcPr>
            <w:tcW w:w="1842" w:type="dxa"/>
            <w:tcBorders>
              <w:top w:val="single" w:color="auto" w:sz="4" w:space="0"/>
              <w:left w:val="nil"/>
              <w:bottom w:val="single" w:color="auto" w:sz="4" w:space="0"/>
              <w:right w:val="single" w:color="auto" w:sz="4" w:space="0"/>
            </w:tcBorders>
            <w:shd w:val="clear" w:color="auto" w:fill="auto"/>
            <w:vAlign w:val="center"/>
          </w:tcPr>
          <w:p>
            <w:pPr>
              <w:jc w:val="left"/>
              <w:rPr>
                <w:b/>
                <w:bCs/>
              </w:rPr>
            </w:pPr>
            <w:r>
              <w:rPr>
                <w:rFonts w:hint="eastAsia"/>
                <w:b/>
                <w:bCs/>
              </w:rPr>
              <w:t>功能模块</w:t>
            </w:r>
          </w:p>
        </w:tc>
        <w:tc>
          <w:tcPr>
            <w:tcW w:w="5307" w:type="dxa"/>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技术说明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rPr>
                <w:color w:val="0D0D0D"/>
              </w:rPr>
            </w:pPr>
            <w:r>
              <w:rPr>
                <w:rFonts w:hint="eastAsia"/>
                <w:color w:val="0D0D0D"/>
              </w:rPr>
              <w:t>基本功能</w:t>
            </w:r>
          </w:p>
        </w:tc>
        <w:tc>
          <w:tcPr>
            <w:tcW w:w="1842" w:type="dxa"/>
            <w:shd w:val="clear" w:color="auto" w:fill="auto"/>
            <w:vAlign w:val="center"/>
          </w:tcPr>
          <w:p>
            <w:pPr>
              <w:jc w:val="left"/>
            </w:pPr>
            <w:r>
              <w:rPr>
                <w:rFonts w:hint="eastAsia"/>
              </w:rPr>
              <w:t>统计范围</w:t>
            </w:r>
          </w:p>
        </w:tc>
        <w:tc>
          <w:tcPr>
            <w:tcW w:w="5307" w:type="dxa"/>
            <w:shd w:val="clear" w:color="auto" w:fill="auto"/>
            <w:vAlign w:val="center"/>
          </w:tcPr>
          <w:p>
            <w:pPr>
              <w:jc w:val="left"/>
            </w:pPr>
            <w:r>
              <w:rPr>
                <w:rFonts w:hint="eastAsia"/>
              </w:rPr>
              <w:t>各指标，按年度、全院汇总统计</w:t>
            </w:r>
          </w:p>
          <w:p>
            <w:pPr>
              <w:jc w:val="left"/>
            </w:pPr>
            <w:r>
              <w:rPr>
                <w:rFonts w:hint="eastAsia"/>
              </w:rPr>
              <w:t>按年度，提供结果一览表。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rPr>
                <w:color w:val="0D0D0D"/>
              </w:rPr>
            </w:pPr>
          </w:p>
        </w:tc>
        <w:tc>
          <w:tcPr>
            <w:tcW w:w="1842" w:type="dxa"/>
            <w:shd w:val="clear" w:color="auto" w:fill="auto"/>
            <w:vAlign w:val="center"/>
          </w:tcPr>
          <w:p>
            <w:pPr>
              <w:jc w:val="left"/>
            </w:pPr>
            <w:r>
              <w:rPr>
                <w:rFonts w:hint="eastAsia"/>
              </w:rPr>
              <w:t>统计自动化</w:t>
            </w:r>
          </w:p>
        </w:tc>
        <w:tc>
          <w:tcPr>
            <w:tcW w:w="5307" w:type="dxa"/>
            <w:shd w:val="clear" w:color="auto" w:fill="auto"/>
            <w:vAlign w:val="center"/>
          </w:tcPr>
          <w:p>
            <w:pPr>
              <w:jc w:val="left"/>
            </w:pPr>
            <w:r>
              <w:rPr>
                <w:rFonts w:hint="eastAsia"/>
              </w:rPr>
              <w:t>输入年度，一键完成自动统计。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rPr>
                <w:color w:val="0D0D0D"/>
              </w:rPr>
            </w:pPr>
          </w:p>
        </w:tc>
        <w:tc>
          <w:tcPr>
            <w:tcW w:w="1842" w:type="dxa"/>
            <w:shd w:val="clear" w:color="auto" w:fill="auto"/>
            <w:vAlign w:val="center"/>
          </w:tcPr>
          <w:p>
            <w:pPr>
              <w:rPr>
                <w:color w:val="0D0D0D"/>
              </w:rPr>
            </w:pPr>
            <w:r>
              <w:rPr>
                <w:rFonts w:hint="eastAsia"/>
                <w:color w:val="0D0D0D"/>
              </w:rPr>
              <w:t>指标/变量说明</w:t>
            </w:r>
          </w:p>
        </w:tc>
        <w:tc>
          <w:tcPr>
            <w:tcW w:w="5307" w:type="dxa"/>
            <w:shd w:val="clear" w:color="auto" w:fill="auto"/>
            <w:vAlign w:val="center"/>
          </w:tcPr>
          <w:p>
            <w:pPr>
              <w:rPr>
                <w:color w:val="0D0D0D"/>
              </w:rPr>
            </w:pPr>
            <w:r>
              <w:rPr>
                <w:rFonts w:hint="eastAsia"/>
                <w:color w:val="0D0D0D"/>
              </w:rPr>
              <w:t>对每个指标/变量，描述其类别、简要定义、数据源等，方便。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rPr>
                <w:color w:val="0D0D0D"/>
              </w:rPr>
            </w:pPr>
          </w:p>
        </w:tc>
        <w:tc>
          <w:tcPr>
            <w:tcW w:w="1842" w:type="dxa"/>
            <w:shd w:val="clear" w:color="auto" w:fill="auto"/>
            <w:vAlign w:val="center"/>
          </w:tcPr>
          <w:p>
            <w:pPr>
              <w:rPr>
                <w:color w:val="0D0D0D"/>
              </w:rPr>
            </w:pPr>
            <w:r>
              <w:rPr>
                <w:rFonts w:hint="eastAsia"/>
                <w:color w:val="0D0D0D"/>
              </w:rPr>
              <w:t>*结果核对</w:t>
            </w:r>
          </w:p>
        </w:tc>
        <w:tc>
          <w:tcPr>
            <w:tcW w:w="5307" w:type="dxa"/>
            <w:shd w:val="clear" w:color="auto" w:fill="auto"/>
            <w:vAlign w:val="center"/>
          </w:tcPr>
          <w:p>
            <w:pPr>
              <w:rPr>
                <w:color w:val="0D0D0D"/>
              </w:rPr>
            </w:pPr>
            <w:r>
              <w:rPr>
                <w:rFonts w:hint="eastAsia"/>
                <w:color w:val="0D0D0D"/>
              </w:rPr>
              <w:t>查询各指标/变量的统计结果明细数据，方便核对。</w:t>
            </w:r>
          </w:p>
          <w:p>
            <w:pPr>
              <w:rPr>
                <w:color w:val="0D0D0D"/>
              </w:rPr>
            </w:pPr>
            <w:r>
              <w:rPr>
                <w:rFonts w:hint="eastAsia"/>
                <w:color w:val="0D0D0D"/>
              </w:rPr>
              <w:t>允许多参数过滤：</w:t>
            </w:r>
          </w:p>
          <w:p>
            <w:pPr>
              <w:numPr>
                <w:ilvl w:val="0"/>
                <w:numId w:val="5"/>
              </w:numPr>
              <w:spacing w:line="360" w:lineRule="auto"/>
              <w:rPr>
                <w:color w:val="0D0D0D"/>
              </w:rPr>
            </w:pPr>
            <w:r>
              <w:rPr>
                <w:rFonts w:hint="eastAsia"/>
                <w:color w:val="0D0D0D"/>
              </w:rPr>
              <w:t>时间范围。</w:t>
            </w:r>
          </w:p>
          <w:p>
            <w:pPr>
              <w:numPr>
                <w:ilvl w:val="0"/>
                <w:numId w:val="5"/>
              </w:numPr>
              <w:spacing w:line="360" w:lineRule="auto"/>
              <w:rPr>
                <w:color w:val="0D0D0D"/>
              </w:rPr>
            </w:pPr>
            <w:r>
              <w:rPr>
                <w:rFonts w:hint="eastAsia"/>
                <w:color w:val="0D0D0D"/>
              </w:rPr>
              <w:t>时段类型（月、季、年、所有类型）</w:t>
            </w:r>
          </w:p>
          <w:p>
            <w:pPr>
              <w:numPr>
                <w:ilvl w:val="0"/>
                <w:numId w:val="5"/>
              </w:numPr>
              <w:spacing w:line="360" w:lineRule="auto"/>
              <w:rPr>
                <w:b/>
                <w:color w:val="0D0D0D"/>
              </w:rPr>
            </w:pPr>
            <w:r>
              <w:rPr>
                <w:rFonts w:hint="eastAsia"/>
                <w:color w:val="0D0D0D"/>
              </w:rPr>
              <w:t>病区（各病区、全院）。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rPr>
                <w:color w:val="0D0D0D"/>
              </w:rPr>
            </w:pPr>
          </w:p>
        </w:tc>
        <w:tc>
          <w:tcPr>
            <w:tcW w:w="1842" w:type="dxa"/>
            <w:shd w:val="clear" w:color="auto" w:fill="auto"/>
            <w:vAlign w:val="center"/>
          </w:tcPr>
          <w:p>
            <w:pPr>
              <w:rPr>
                <w:color w:val="0D0D0D"/>
              </w:rPr>
            </w:pPr>
            <w:r>
              <w:rPr>
                <w:rFonts w:hint="eastAsia"/>
                <w:color w:val="0D0D0D"/>
              </w:rPr>
              <w:t>*结果展示</w:t>
            </w:r>
          </w:p>
        </w:tc>
        <w:tc>
          <w:tcPr>
            <w:tcW w:w="5307" w:type="dxa"/>
            <w:shd w:val="clear" w:color="auto" w:fill="auto"/>
            <w:vAlign w:val="center"/>
          </w:tcPr>
          <w:p>
            <w:pPr>
              <w:rPr>
                <w:color w:val="0D0D0D"/>
              </w:rPr>
            </w:pPr>
            <w:r>
              <w:rPr>
                <w:rFonts w:hint="eastAsia"/>
                <w:color w:val="0D0D0D"/>
              </w:rPr>
              <w:t>提供2种方式：表格、图表。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vAlign w:val="center"/>
          </w:tcPr>
          <w:p>
            <w:pPr>
              <w:rPr>
                <w:color w:val="0D0D0D"/>
              </w:rPr>
            </w:pPr>
          </w:p>
        </w:tc>
        <w:tc>
          <w:tcPr>
            <w:tcW w:w="1842" w:type="dxa"/>
            <w:shd w:val="clear" w:color="auto" w:fill="auto"/>
            <w:vAlign w:val="center"/>
          </w:tcPr>
          <w:p>
            <w:pPr>
              <w:rPr>
                <w:color w:val="0D0D0D"/>
              </w:rPr>
            </w:pPr>
            <w:r>
              <w:rPr>
                <w:rFonts w:hint="eastAsia"/>
                <w:color w:val="0D0D0D"/>
              </w:rPr>
              <w:t>*结果可导出</w:t>
            </w:r>
          </w:p>
        </w:tc>
        <w:tc>
          <w:tcPr>
            <w:tcW w:w="5307" w:type="dxa"/>
            <w:shd w:val="clear" w:color="auto" w:fill="auto"/>
            <w:vAlign w:val="center"/>
          </w:tcPr>
          <w:p>
            <w:pPr>
              <w:rPr>
                <w:color w:val="0D0D0D"/>
              </w:rPr>
            </w:pPr>
            <w:r>
              <w:rPr>
                <w:rFonts w:hint="eastAsia"/>
                <w:color w:val="0D0D0D"/>
              </w:rPr>
              <w:t>可以导出为Excel文件。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vAlign w:val="center"/>
          </w:tcPr>
          <w:p>
            <w:pPr>
              <w:rPr>
                <w:color w:val="0D0D0D"/>
              </w:rPr>
            </w:pPr>
            <w:r>
              <w:rPr>
                <w:rFonts w:hint="eastAsia"/>
                <w:color w:val="0D0D0D"/>
              </w:rPr>
              <w:t>指标统计（包含且不仅限于下列指标）</w:t>
            </w: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床</w:t>
            </w:r>
            <w:r>
              <w:rPr>
                <w:color w:val="0D0D0D"/>
              </w:rPr>
              <w:t>/</w:t>
            </w:r>
            <w:r>
              <w:rPr>
                <w:rFonts w:hint="eastAsia"/>
                <w:color w:val="0D0D0D"/>
              </w:rPr>
              <w:t>护比（全院）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床</w:t>
            </w:r>
            <w:r>
              <w:rPr>
                <w:color w:val="0D0D0D"/>
              </w:rPr>
              <w:t>/</w:t>
            </w:r>
            <w:r>
              <w:rPr>
                <w:rFonts w:hint="eastAsia"/>
                <w:color w:val="0D0D0D"/>
              </w:rPr>
              <w:t>护比（住院）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w:t>
            </w:r>
            <w:r>
              <w:rPr>
                <w:color w:val="0D0D0D"/>
              </w:rPr>
              <w:t>/</w:t>
            </w:r>
            <w:r>
              <w:rPr>
                <w:rFonts w:hint="eastAsia"/>
                <w:color w:val="0D0D0D"/>
              </w:rPr>
              <w:t>患比</w:t>
            </w:r>
            <w:r>
              <w:rPr>
                <w:color w:val="0D0D0D"/>
              </w:rPr>
              <w:t>-</w:t>
            </w:r>
            <w:r>
              <w:rPr>
                <w:rFonts w:hint="eastAsia"/>
                <w:color w:val="0D0D0D"/>
              </w:rPr>
              <w:t>白班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w:t>
            </w:r>
            <w:r>
              <w:rPr>
                <w:color w:val="0D0D0D"/>
              </w:rPr>
              <w:t>/</w:t>
            </w:r>
            <w:r>
              <w:rPr>
                <w:rFonts w:hint="eastAsia"/>
                <w:color w:val="0D0D0D"/>
              </w:rPr>
              <w:t>患比</w:t>
            </w:r>
            <w:r>
              <w:rPr>
                <w:color w:val="0D0D0D"/>
              </w:rPr>
              <w:t>-</w:t>
            </w:r>
            <w:r>
              <w:rPr>
                <w:rFonts w:hint="eastAsia"/>
                <w:color w:val="0D0D0D"/>
              </w:rPr>
              <w:t>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w:t>
            </w:r>
            <w:r>
              <w:rPr>
                <w:color w:val="0D0D0D"/>
              </w:rPr>
              <w:t>/</w:t>
            </w:r>
            <w:r>
              <w:rPr>
                <w:rFonts w:hint="eastAsia"/>
                <w:color w:val="0D0D0D"/>
              </w:rPr>
              <w:t>患比</w:t>
            </w:r>
            <w:r>
              <w:rPr>
                <w:color w:val="0D0D0D"/>
              </w:rPr>
              <w:t>-</w:t>
            </w:r>
            <w:r>
              <w:rPr>
                <w:rFonts w:hint="eastAsia"/>
                <w:color w:val="0D0D0D"/>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每住院患者</w:t>
            </w:r>
            <w:r>
              <w:rPr>
                <w:color w:val="0D0D0D"/>
              </w:rPr>
              <w:t>24</w:t>
            </w:r>
            <w:r>
              <w:rPr>
                <w:rFonts w:hint="eastAsia"/>
                <w:color w:val="0D0D0D"/>
              </w:rPr>
              <w:t>小时平均护理时数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w:t>
            </w:r>
            <w:r>
              <w:rPr>
                <w:rFonts w:hint="eastAsia"/>
                <w:color w:val="0D0D0D"/>
              </w:rPr>
              <w:t>初级护士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w:t>
            </w:r>
            <w:r>
              <w:rPr>
                <w:rFonts w:hint="eastAsia"/>
                <w:color w:val="0D0D0D"/>
              </w:rPr>
              <w:t>初级护师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w:t>
            </w:r>
            <w:r>
              <w:rPr>
                <w:rFonts w:hint="eastAsia"/>
                <w:color w:val="0D0D0D"/>
              </w:rPr>
              <w:t>主管护师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w:t>
            </w:r>
            <w:r>
              <w:rPr>
                <w:rFonts w:hint="eastAsia"/>
                <w:color w:val="0D0D0D"/>
              </w:rPr>
              <w:t>副主任护师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w:t>
            </w:r>
            <w:r>
              <w:rPr>
                <w:rFonts w:hint="eastAsia"/>
                <w:color w:val="0D0D0D"/>
              </w:rPr>
              <w:t>主任护师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w:t>
            </w:r>
            <w:r>
              <w:rPr>
                <w:rFonts w:hint="eastAsia"/>
                <w:color w:val="0D0D0D"/>
              </w:rPr>
              <w:t>中专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w:t>
            </w:r>
            <w:r>
              <w:rPr>
                <w:rFonts w:hint="eastAsia"/>
                <w:color w:val="0D0D0D"/>
              </w:rPr>
              <w:t>大专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w:t>
            </w:r>
            <w:r>
              <w:rPr>
                <w:rFonts w:hint="eastAsia"/>
                <w:color w:val="0D0D0D"/>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w:t>
            </w:r>
            <w:r>
              <w:rPr>
                <w:rFonts w:hint="eastAsia"/>
                <w:color w:val="0D0D0D"/>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w:t>
            </w:r>
            <w:r>
              <w:rPr>
                <w:rFonts w:hint="eastAsia"/>
                <w:color w:val="0D0D0D"/>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-&lt;1</w:t>
            </w:r>
            <w:r>
              <w:rPr>
                <w:rFonts w:hint="eastAsia"/>
                <w:color w:val="0D0D0D"/>
              </w:rPr>
              <w:t>年资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-1</w:t>
            </w:r>
            <w:r>
              <w:rPr>
                <w:rFonts w:hint="eastAsia"/>
                <w:color w:val="0D0D0D"/>
              </w:rPr>
              <w:t>≤</w:t>
            </w:r>
            <w:r>
              <w:rPr>
                <w:color w:val="0D0D0D"/>
              </w:rPr>
              <w:t>y&lt;2</w:t>
            </w:r>
            <w:r>
              <w:rPr>
                <w:rFonts w:hint="eastAsia"/>
                <w:color w:val="0D0D0D"/>
              </w:rPr>
              <w:t>年资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-2</w:t>
            </w:r>
            <w:r>
              <w:rPr>
                <w:rFonts w:hint="eastAsia"/>
                <w:color w:val="0D0D0D"/>
              </w:rPr>
              <w:t>≤</w:t>
            </w:r>
            <w:r>
              <w:rPr>
                <w:color w:val="0D0D0D"/>
              </w:rPr>
              <w:t>y&lt;5</w:t>
            </w:r>
            <w:r>
              <w:rPr>
                <w:rFonts w:hint="eastAsia"/>
                <w:color w:val="0D0D0D"/>
              </w:rPr>
              <w:t>年资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-5</w:t>
            </w:r>
            <w:r>
              <w:rPr>
                <w:rFonts w:hint="eastAsia"/>
                <w:color w:val="0D0D0D"/>
              </w:rPr>
              <w:t>≤</w:t>
            </w:r>
            <w:r>
              <w:rPr>
                <w:color w:val="0D0D0D"/>
              </w:rPr>
              <w:t>y&lt;10</w:t>
            </w:r>
            <w:r>
              <w:rPr>
                <w:rFonts w:hint="eastAsia"/>
                <w:color w:val="0D0D0D"/>
              </w:rPr>
              <w:t>年资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-10</w:t>
            </w:r>
            <w:r>
              <w:rPr>
                <w:rFonts w:hint="eastAsia"/>
                <w:color w:val="0D0D0D"/>
              </w:rPr>
              <w:t>≤</w:t>
            </w:r>
            <w:r>
              <w:rPr>
                <w:color w:val="0D0D0D"/>
              </w:rPr>
              <w:t>y&lt;20</w:t>
            </w:r>
            <w:r>
              <w:rPr>
                <w:rFonts w:hint="eastAsia"/>
                <w:color w:val="0D0D0D"/>
              </w:rPr>
              <w:t>年资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护士配备</w:t>
            </w:r>
            <w:r>
              <w:rPr>
                <w:color w:val="0D0D0D"/>
              </w:rPr>
              <w:t>-</w:t>
            </w:r>
            <w:r>
              <w:rPr>
                <w:rFonts w:hint="eastAsia"/>
                <w:color w:val="0D0D0D"/>
              </w:rPr>
              <w:t>≥</w:t>
            </w:r>
            <w:r>
              <w:rPr>
                <w:color w:val="0D0D0D"/>
              </w:rPr>
              <w:t>20</w:t>
            </w:r>
            <w:r>
              <w:rPr>
                <w:rFonts w:hint="eastAsia"/>
                <w:color w:val="0D0D0D"/>
              </w:rPr>
              <w:t>年资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w:t>
            </w:r>
            <w:r>
              <w:rPr>
                <w:rFonts w:hint="eastAsia"/>
                <w:color w:val="0D0D0D"/>
              </w:rPr>
              <w:t>初级护士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w:t>
            </w:r>
            <w:r>
              <w:rPr>
                <w:rFonts w:hint="eastAsia"/>
                <w:color w:val="0D0D0D"/>
              </w:rPr>
              <w:t>初级护师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w:t>
            </w:r>
            <w:r>
              <w:rPr>
                <w:rFonts w:hint="eastAsia"/>
                <w:color w:val="0D0D0D"/>
              </w:rPr>
              <w:t>主管护师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w:t>
            </w:r>
            <w:r>
              <w:rPr>
                <w:rFonts w:hint="eastAsia"/>
                <w:color w:val="0D0D0D"/>
              </w:rPr>
              <w:t>副主任护师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w:t>
            </w:r>
            <w:r>
              <w:rPr>
                <w:rFonts w:hint="eastAsia"/>
                <w:color w:val="0D0D0D"/>
              </w:rPr>
              <w:t>主任护师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w:t>
            </w:r>
            <w:r>
              <w:rPr>
                <w:rFonts w:hint="eastAsia"/>
                <w:color w:val="0D0D0D"/>
              </w:rPr>
              <w:t>中专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w:t>
            </w:r>
            <w:r>
              <w:rPr>
                <w:rFonts w:hint="eastAsia"/>
                <w:color w:val="0D0D0D"/>
              </w:rPr>
              <w:t>大专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w:t>
            </w:r>
            <w:r>
              <w:rPr>
                <w:rFonts w:hint="eastAsia"/>
                <w:color w:val="0D0D0D"/>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w:t>
            </w:r>
            <w:r>
              <w:rPr>
                <w:rFonts w:hint="eastAsia"/>
                <w:color w:val="0D0D0D"/>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w:t>
            </w:r>
            <w:r>
              <w:rPr>
                <w:rFonts w:hint="eastAsia"/>
                <w:color w:val="0D0D0D"/>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-&lt;1</w:t>
            </w:r>
            <w:r>
              <w:rPr>
                <w:rFonts w:hint="eastAsia"/>
                <w:color w:val="0D0D0D"/>
              </w:rPr>
              <w:t>年资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-1</w:t>
            </w:r>
            <w:r>
              <w:rPr>
                <w:rFonts w:hint="eastAsia"/>
                <w:color w:val="0D0D0D"/>
              </w:rPr>
              <w:t>≤</w:t>
            </w:r>
            <w:r>
              <w:rPr>
                <w:color w:val="0D0D0D"/>
              </w:rPr>
              <w:t>y&lt;2</w:t>
            </w:r>
            <w:r>
              <w:rPr>
                <w:rFonts w:hint="eastAsia"/>
                <w:color w:val="0D0D0D"/>
              </w:rPr>
              <w:t>年资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-2</w:t>
            </w:r>
            <w:r>
              <w:rPr>
                <w:rFonts w:hint="eastAsia"/>
                <w:color w:val="0D0D0D"/>
              </w:rPr>
              <w:t>≤</w:t>
            </w:r>
            <w:r>
              <w:rPr>
                <w:color w:val="0D0D0D"/>
              </w:rPr>
              <w:t>y&lt;5</w:t>
            </w:r>
            <w:r>
              <w:rPr>
                <w:rFonts w:hint="eastAsia"/>
                <w:color w:val="0D0D0D"/>
              </w:rPr>
              <w:t>年资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-5</w:t>
            </w:r>
            <w:r>
              <w:rPr>
                <w:rFonts w:hint="eastAsia"/>
                <w:color w:val="0D0D0D"/>
              </w:rPr>
              <w:t>≤</w:t>
            </w:r>
            <w:r>
              <w:rPr>
                <w:color w:val="0D0D0D"/>
              </w:rPr>
              <w:t>y&lt;10</w:t>
            </w:r>
            <w:r>
              <w:rPr>
                <w:rFonts w:hint="eastAsia"/>
                <w:color w:val="0D0D0D"/>
              </w:rPr>
              <w:t>年资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-10</w:t>
            </w:r>
            <w:r>
              <w:rPr>
                <w:rFonts w:hint="eastAsia"/>
                <w:color w:val="0D0D0D"/>
              </w:rPr>
              <w:t>≤</w:t>
            </w:r>
            <w:r>
              <w:rPr>
                <w:color w:val="0D0D0D"/>
              </w:rPr>
              <w:t>y&lt;20</w:t>
            </w:r>
            <w:r>
              <w:rPr>
                <w:rFonts w:hint="eastAsia"/>
                <w:color w:val="0D0D0D"/>
              </w:rPr>
              <w:t>年资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01-</w:t>
            </w:r>
            <w:r>
              <w:rPr>
                <w:rFonts w:hint="eastAsia"/>
                <w:color w:val="0D0D0D"/>
              </w:rPr>
              <w:t>结构性指标</w:t>
            </w:r>
          </w:p>
        </w:tc>
        <w:tc>
          <w:tcPr>
            <w:tcW w:w="5307" w:type="dxa"/>
            <w:shd w:val="clear" w:color="auto" w:fill="auto"/>
            <w:vAlign w:val="center"/>
          </w:tcPr>
          <w:p>
            <w:pPr>
              <w:rPr>
                <w:color w:val="0D0D0D"/>
              </w:rPr>
            </w:pPr>
            <w:r>
              <w:rPr>
                <w:rFonts w:hint="eastAsia"/>
                <w:color w:val="0D0D0D"/>
              </w:rPr>
              <w:t>离职率</w:t>
            </w:r>
            <w:r>
              <w:rPr>
                <w:color w:val="0D0D0D"/>
              </w:rPr>
              <w:t>-</w:t>
            </w:r>
            <w:r>
              <w:rPr>
                <w:rFonts w:hint="eastAsia"/>
                <w:color w:val="0D0D0D"/>
              </w:rPr>
              <w:t>≥</w:t>
            </w:r>
            <w:r>
              <w:rPr>
                <w:color w:val="0D0D0D"/>
              </w:rPr>
              <w:t>20</w:t>
            </w:r>
            <w:r>
              <w:rPr>
                <w:rFonts w:hint="eastAsia"/>
                <w:color w:val="0D0D0D"/>
              </w:rPr>
              <w:t>年资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color w:val="0D0D0D"/>
              </w:rPr>
              <w:t>UEX</w:t>
            </w:r>
            <w:r>
              <w:rPr>
                <w:rFonts w:hint="eastAsia"/>
                <w:color w:val="0D0D0D"/>
              </w:rPr>
              <w:t>发生率</w:t>
            </w:r>
            <w:r>
              <w:rPr>
                <w:color w:val="0D0D0D"/>
              </w:rPr>
              <w:t>-</w:t>
            </w:r>
            <w:r>
              <w:rPr>
                <w:rFonts w:hint="eastAsia"/>
                <w:color w:val="0D0D0D"/>
              </w:rPr>
              <w:t>尿管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color w:val="0D0D0D"/>
              </w:rPr>
              <w:t>UEX</w:t>
            </w:r>
            <w:r>
              <w:rPr>
                <w:rFonts w:hint="eastAsia"/>
                <w:color w:val="0D0D0D"/>
              </w:rPr>
              <w:t>发生率</w:t>
            </w:r>
            <w:r>
              <w:rPr>
                <w:color w:val="0D0D0D"/>
              </w:rPr>
              <w:t>-</w:t>
            </w:r>
            <w:r>
              <w:rPr>
                <w:rFonts w:hint="eastAsia"/>
                <w:color w:val="0D0D0D"/>
              </w:rPr>
              <w:t>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color w:val="0D0D0D"/>
              </w:rPr>
              <w:t>UEX</w:t>
            </w:r>
            <w:r>
              <w:rPr>
                <w:rFonts w:hint="eastAsia"/>
                <w:color w:val="0D0D0D"/>
              </w:rPr>
              <w:t>发生率</w:t>
            </w:r>
            <w:r>
              <w:rPr>
                <w:color w:val="0D0D0D"/>
              </w:rPr>
              <w:t>-CVC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color w:val="0D0D0D"/>
              </w:rPr>
              <w:t>UEX</w:t>
            </w:r>
            <w:r>
              <w:rPr>
                <w:rFonts w:hint="eastAsia"/>
                <w:color w:val="0D0D0D"/>
              </w:rPr>
              <w:t>发生率</w:t>
            </w:r>
            <w:r>
              <w:rPr>
                <w:color w:val="0D0D0D"/>
              </w:rPr>
              <w:t>-PICC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color w:val="0D0D0D"/>
              </w:rPr>
              <w:t>UEX</w:t>
            </w:r>
            <w:r>
              <w:rPr>
                <w:rFonts w:hint="eastAsia"/>
                <w:color w:val="0D0D0D"/>
              </w:rPr>
              <w:t>发生率</w:t>
            </w:r>
            <w:r>
              <w:rPr>
                <w:color w:val="0D0D0D"/>
              </w:rPr>
              <w:t>-</w:t>
            </w:r>
            <w:r>
              <w:rPr>
                <w:rFonts w:hint="eastAsia"/>
                <w:color w:val="0D0D0D"/>
              </w:rPr>
              <w:t>气管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rFonts w:hint="eastAsia"/>
                <w:color w:val="0D0D0D"/>
              </w:rPr>
              <w:t>身体约束率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rFonts w:hint="eastAsia"/>
                <w:color w:val="0D0D0D"/>
              </w:rPr>
              <w:t>跌倒发生率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rFonts w:hint="eastAsia"/>
                <w:color w:val="0D0D0D"/>
              </w:rPr>
              <w:t>跌倒伤害率</w:t>
            </w:r>
            <w:r>
              <w:rPr>
                <w:color w:val="0D0D0D"/>
              </w:rPr>
              <w:t>:</w:t>
            </w:r>
            <w:r>
              <w:rPr>
                <w:rFonts w:hint="eastAsia"/>
                <w:color w:val="0D0D0D"/>
              </w:rPr>
              <w:t>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rFonts w:hint="eastAsia"/>
                <w:color w:val="0D0D0D"/>
              </w:rPr>
              <w:t>跌倒伤害率</w:t>
            </w:r>
            <w:r>
              <w:rPr>
                <w:color w:val="0D0D0D"/>
              </w:rPr>
              <w:t>:0</w:t>
            </w:r>
            <w:r>
              <w:rPr>
                <w:rFonts w:hint="eastAsia"/>
                <w:color w:val="0D0D0D"/>
              </w:rPr>
              <w:t>级</w:t>
            </w:r>
            <w:r>
              <w:rPr>
                <w:color w:val="0D0D0D"/>
              </w:rPr>
              <w:t>(</w:t>
            </w:r>
            <w:r>
              <w:rPr>
                <w:rFonts w:hint="eastAsia"/>
                <w:color w:val="0D0D0D"/>
              </w:rPr>
              <w:t>无伤害</w:t>
            </w:r>
            <w:r>
              <w:rPr>
                <w:color w:val="0D0D0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rFonts w:hint="eastAsia"/>
                <w:color w:val="0D0D0D"/>
              </w:rPr>
              <w:t>跌倒伤害率</w:t>
            </w:r>
            <w:r>
              <w:rPr>
                <w:color w:val="0D0D0D"/>
              </w:rPr>
              <w:t>:1</w:t>
            </w:r>
            <w:r>
              <w:rPr>
                <w:rFonts w:hint="eastAsia"/>
                <w:color w:val="0D0D0D"/>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rFonts w:hint="eastAsia"/>
                <w:color w:val="0D0D0D"/>
              </w:rPr>
              <w:t>跌倒伤害率</w:t>
            </w:r>
            <w:r>
              <w:rPr>
                <w:color w:val="0D0D0D"/>
              </w:rPr>
              <w:t>:2</w:t>
            </w:r>
            <w:r>
              <w:rPr>
                <w:rFonts w:hint="eastAsia"/>
                <w:color w:val="0D0D0D"/>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rFonts w:hint="eastAsia"/>
                <w:color w:val="0D0D0D"/>
              </w:rPr>
              <w:t>跌倒伤害率</w:t>
            </w:r>
            <w:r>
              <w:rPr>
                <w:color w:val="0D0D0D"/>
              </w:rPr>
              <w:t>:3</w:t>
            </w:r>
            <w:r>
              <w:rPr>
                <w:rFonts w:hint="eastAsia"/>
                <w:color w:val="0D0D0D"/>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rFonts w:hint="eastAsia"/>
                <w:color w:val="0D0D0D"/>
              </w:rPr>
              <w:t>跌倒伤害率</w:t>
            </w:r>
            <w:r>
              <w:rPr>
                <w:color w:val="0D0D0D"/>
              </w:rPr>
              <w:t>:</w:t>
            </w:r>
            <w:r>
              <w:rPr>
                <w:rFonts w:hint="eastAsia"/>
                <w:color w:val="0D0D0D"/>
              </w:rPr>
              <w:t>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rFonts w:hint="eastAsia"/>
                <w:color w:val="0D0D0D"/>
              </w:rPr>
              <w:t>压疮发生率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rFonts w:hint="eastAsia"/>
                <w:color w:val="0D0D0D"/>
              </w:rPr>
              <w:t>住院压疮发生率</w:t>
            </w:r>
            <w:r>
              <w:rPr>
                <w:color w:val="0D0D0D"/>
              </w:rPr>
              <w:t>:2+</w:t>
            </w:r>
            <w:r>
              <w:rPr>
                <w:rFonts w:hint="eastAsia"/>
                <w:color w:val="0D0D0D"/>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02-</w:t>
            </w:r>
            <w:r>
              <w:rPr>
                <w:rFonts w:hint="eastAsia"/>
                <w:color w:val="0D0D0D"/>
              </w:rPr>
              <w:t>过程性指标</w:t>
            </w:r>
          </w:p>
        </w:tc>
        <w:tc>
          <w:tcPr>
            <w:tcW w:w="5307" w:type="dxa"/>
            <w:shd w:val="clear" w:color="auto" w:fill="auto"/>
            <w:vAlign w:val="center"/>
          </w:tcPr>
          <w:p>
            <w:pPr>
              <w:rPr>
                <w:color w:val="0D0D0D"/>
              </w:rPr>
            </w:pPr>
            <w:r>
              <w:rPr>
                <w:rFonts w:hint="eastAsia"/>
                <w:color w:val="0D0D0D"/>
              </w:rPr>
              <w:t>压疮现患率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03-</w:t>
            </w:r>
            <w:r>
              <w:rPr>
                <w:rFonts w:hint="eastAsia"/>
                <w:color w:val="0D0D0D"/>
              </w:rPr>
              <w:t>结果性指标</w:t>
            </w:r>
          </w:p>
        </w:tc>
        <w:tc>
          <w:tcPr>
            <w:tcW w:w="5307" w:type="dxa"/>
            <w:shd w:val="clear" w:color="auto" w:fill="auto"/>
            <w:vAlign w:val="center"/>
          </w:tcPr>
          <w:p>
            <w:pPr>
              <w:rPr>
                <w:color w:val="0D0D0D"/>
              </w:rPr>
            </w:pPr>
            <w:r>
              <w:rPr>
                <w:rFonts w:hint="eastAsia"/>
                <w:color w:val="0D0D0D"/>
              </w:rPr>
              <w:t>【</w:t>
            </w:r>
            <w:r>
              <w:rPr>
                <w:color w:val="0D0D0D"/>
              </w:rPr>
              <w:t>ICU</w:t>
            </w:r>
            <w:r>
              <w:rPr>
                <w:rFonts w:hint="eastAsia"/>
                <w:color w:val="0D0D0D"/>
              </w:rPr>
              <w:t>】</w:t>
            </w:r>
            <w:r>
              <w:rPr>
                <w:color w:val="0D0D0D"/>
              </w:rPr>
              <w:t>CAUTI(</w:t>
            </w:r>
            <w:r>
              <w:rPr>
                <w:rFonts w:hint="eastAsia"/>
                <w:color w:val="0D0D0D"/>
              </w:rPr>
              <w:t>留置尿管相关尿路感染</w:t>
            </w:r>
            <w:r>
              <w:rPr>
                <w:color w:val="0D0D0D"/>
              </w:rPr>
              <w:t>)-</w:t>
            </w:r>
            <w:r>
              <w:rPr>
                <w:rFonts w:hint="eastAsia"/>
                <w:color w:val="0D0D0D"/>
              </w:rPr>
              <w:t>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03-</w:t>
            </w:r>
            <w:r>
              <w:rPr>
                <w:rFonts w:hint="eastAsia"/>
                <w:color w:val="0D0D0D"/>
              </w:rPr>
              <w:t>结果性指标</w:t>
            </w:r>
          </w:p>
        </w:tc>
        <w:tc>
          <w:tcPr>
            <w:tcW w:w="5307" w:type="dxa"/>
            <w:shd w:val="clear" w:color="auto" w:fill="auto"/>
            <w:vAlign w:val="center"/>
          </w:tcPr>
          <w:p>
            <w:pPr>
              <w:rPr>
                <w:color w:val="0D0D0D"/>
              </w:rPr>
            </w:pPr>
            <w:r>
              <w:rPr>
                <w:rFonts w:hint="eastAsia"/>
                <w:color w:val="0D0D0D"/>
              </w:rPr>
              <w:t>【</w:t>
            </w:r>
            <w:r>
              <w:rPr>
                <w:color w:val="0D0D0D"/>
              </w:rPr>
              <w:t>ICU</w:t>
            </w:r>
            <w:r>
              <w:rPr>
                <w:rFonts w:hint="eastAsia"/>
                <w:color w:val="0D0D0D"/>
              </w:rPr>
              <w:t>】</w:t>
            </w:r>
            <w:r>
              <w:rPr>
                <w:color w:val="0D0D0D"/>
              </w:rPr>
              <w:t>VAP(</w:t>
            </w:r>
            <w:r>
              <w:rPr>
                <w:rFonts w:hint="eastAsia"/>
                <w:color w:val="0D0D0D"/>
              </w:rPr>
              <w:t>呼吸机相关性肺炎</w:t>
            </w:r>
            <w:r>
              <w:rPr>
                <w:color w:val="0D0D0D"/>
              </w:rPr>
              <w:t>)-</w:t>
            </w:r>
            <w:r>
              <w:rPr>
                <w:rFonts w:hint="eastAsia"/>
                <w:color w:val="0D0D0D"/>
              </w:rPr>
              <w:t>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03-</w:t>
            </w:r>
            <w:r>
              <w:rPr>
                <w:rFonts w:hint="eastAsia"/>
                <w:color w:val="0D0D0D"/>
              </w:rPr>
              <w:t>结果性指标</w:t>
            </w:r>
          </w:p>
        </w:tc>
        <w:tc>
          <w:tcPr>
            <w:tcW w:w="5307" w:type="dxa"/>
            <w:shd w:val="clear" w:color="auto" w:fill="auto"/>
            <w:vAlign w:val="center"/>
          </w:tcPr>
          <w:p>
            <w:pPr>
              <w:rPr>
                <w:color w:val="0D0D0D"/>
              </w:rPr>
            </w:pPr>
            <w:r>
              <w:rPr>
                <w:rFonts w:hint="eastAsia"/>
                <w:color w:val="0D0D0D"/>
              </w:rPr>
              <w:t>【</w:t>
            </w:r>
            <w:r>
              <w:rPr>
                <w:color w:val="0D0D0D"/>
              </w:rPr>
              <w:t>ICU</w:t>
            </w:r>
            <w:r>
              <w:rPr>
                <w:rFonts w:hint="eastAsia"/>
                <w:color w:val="0D0D0D"/>
              </w:rPr>
              <w:t>】</w:t>
            </w:r>
            <w:r>
              <w:rPr>
                <w:color w:val="0D0D0D"/>
              </w:rPr>
              <w:t>CLBSI</w:t>
            </w:r>
            <w:r>
              <w:rPr>
                <w:rFonts w:hint="eastAsia"/>
                <w:color w:val="0D0D0D"/>
              </w:rPr>
              <w:t>发生率</w:t>
            </w:r>
            <w:r>
              <w:rPr>
                <w:color w:val="0D0D0D"/>
              </w:rPr>
              <w:t>-CVC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03-</w:t>
            </w:r>
            <w:r>
              <w:rPr>
                <w:rFonts w:hint="eastAsia"/>
                <w:color w:val="0D0D0D"/>
              </w:rPr>
              <w:t>结果性指标</w:t>
            </w:r>
          </w:p>
        </w:tc>
        <w:tc>
          <w:tcPr>
            <w:tcW w:w="5307" w:type="dxa"/>
            <w:shd w:val="clear" w:color="auto" w:fill="auto"/>
            <w:vAlign w:val="center"/>
          </w:tcPr>
          <w:p>
            <w:pPr>
              <w:rPr>
                <w:color w:val="0D0D0D"/>
              </w:rPr>
            </w:pPr>
            <w:r>
              <w:rPr>
                <w:rFonts w:hint="eastAsia"/>
                <w:color w:val="0D0D0D"/>
              </w:rPr>
              <w:t>【</w:t>
            </w:r>
            <w:r>
              <w:rPr>
                <w:color w:val="0D0D0D"/>
              </w:rPr>
              <w:t>ICU</w:t>
            </w:r>
            <w:r>
              <w:rPr>
                <w:rFonts w:hint="eastAsia"/>
                <w:color w:val="0D0D0D"/>
              </w:rPr>
              <w:t>】</w:t>
            </w:r>
            <w:r>
              <w:rPr>
                <w:color w:val="0D0D0D"/>
              </w:rPr>
              <w:t>CLBSI</w:t>
            </w:r>
            <w:r>
              <w:rPr>
                <w:rFonts w:hint="eastAsia"/>
                <w:color w:val="0D0D0D"/>
              </w:rPr>
              <w:t>发生率</w:t>
            </w:r>
            <w:r>
              <w:rPr>
                <w:color w:val="0D0D0D"/>
              </w:rPr>
              <w:t>-PICC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10-</w:t>
            </w:r>
            <w:r>
              <w:rPr>
                <w:rFonts w:hint="eastAsia"/>
                <w:color w:val="0D0D0D"/>
              </w:rPr>
              <w:t>变量</w:t>
            </w:r>
            <w:r>
              <w:rPr>
                <w:color w:val="0D0D0D"/>
              </w:rPr>
              <w:t>-</w:t>
            </w:r>
            <w:r>
              <w:rPr>
                <w:rFonts w:hint="eastAsia"/>
                <w:color w:val="0D0D0D"/>
              </w:rPr>
              <w:t>基本信息</w:t>
            </w:r>
          </w:p>
        </w:tc>
        <w:tc>
          <w:tcPr>
            <w:tcW w:w="5307" w:type="dxa"/>
            <w:shd w:val="clear" w:color="auto" w:fill="auto"/>
            <w:vAlign w:val="center"/>
          </w:tcPr>
          <w:p>
            <w:pPr>
              <w:rPr>
                <w:color w:val="0D0D0D"/>
              </w:rPr>
            </w:pPr>
            <w:r>
              <w:rPr>
                <w:rFonts w:hint="eastAsia"/>
                <w:color w:val="0D0D0D"/>
              </w:rPr>
              <w:t>实际开放床位数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10-</w:t>
            </w:r>
            <w:r>
              <w:rPr>
                <w:rFonts w:hint="eastAsia"/>
                <w:color w:val="0D0D0D"/>
              </w:rPr>
              <w:t>变量</w:t>
            </w:r>
            <w:r>
              <w:rPr>
                <w:color w:val="0D0D0D"/>
              </w:rPr>
              <w:t>-</w:t>
            </w:r>
            <w:r>
              <w:rPr>
                <w:rFonts w:hint="eastAsia"/>
                <w:color w:val="0D0D0D"/>
              </w:rPr>
              <w:t>基本信息</w:t>
            </w:r>
          </w:p>
        </w:tc>
        <w:tc>
          <w:tcPr>
            <w:tcW w:w="5307" w:type="dxa"/>
            <w:shd w:val="clear" w:color="auto" w:fill="auto"/>
            <w:vAlign w:val="center"/>
          </w:tcPr>
          <w:p>
            <w:pPr>
              <w:rPr>
                <w:color w:val="0D0D0D"/>
              </w:rPr>
            </w:pPr>
            <w:r>
              <w:rPr>
                <w:rFonts w:hint="eastAsia"/>
                <w:color w:val="0D0D0D"/>
              </w:rPr>
              <w:t>期初：执业护士数</w:t>
            </w:r>
            <w:r>
              <w:rPr>
                <w:color w:val="0D0D0D"/>
              </w:rPr>
              <w:t>-</w:t>
            </w:r>
            <w:r>
              <w:rPr>
                <w:rFonts w:hint="eastAsia"/>
                <w:color w:val="0D0D0D"/>
              </w:rPr>
              <w:t>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10-</w:t>
            </w:r>
            <w:r>
              <w:rPr>
                <w:rFonts w:hint="eastAsia"/>
                <w:color w:val="0D0D0D"/>
              </w:rPr>
              <w:t>变量</w:t>
            </w:r>
            <w:r>
              <w:rPr>
                <w:color w:val="0D0D0D"/>
              </w:rPr>
              <w:t>-</w:t>
            </w:r>
            <w:r>
              <w:rPr>
                <w:rFonts w:hint="eastAsia"/>
                <w:color w:val="0D0D0D"/>
              </w:rPr>
              <w:t>基本信息</w:t>
            </w:r>
          </w:p>
        </w:tc>
        <w:tc>
          <w:tcPr>
            <w:tcW w:w="5307" w:type="dxa"/>
            <w:shd w:val="clear" w:color="auto" w:fill="auto"/>
            <w:vAlign w:val="center"/>
          </w:tcPr>
          <w:p>
            <w:pPr>
              <w:rPr>
                <w:color w:val="0D0D0D"/>
              </w:rPr>
            </w:pPr>
            <w:r>
              <w:rPr>
                <w:rFonts w:hint="eastAsia"/>
                <w:color w:val="0D0D0D"/>
              </w:rPr>
              <w:t>期末：执业护士数</w:t>
            </w:r>
            <w:r>
              <w:rPr>
                <w:color w:val="0D0D0D"/>
              </w:rPr>
              <w:t>-</w:t>
            </w:r>
            <w:r>
              <w:rPr>
                <w:rFonts w:hint="eastAsia"/>
                <w:color w:val="0D0D0D"/>
              </w:rPr>
              <w:t>全院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10-</w:t>
            </w:r>
            <w:r>
              <w:rPr>
                <w:rFonts w:hint="eastAsia"/>
                <w:color w:val="0D0D0D"/>
              </w:rPr>
              <w:t>变量</w:t>
            </w:r>
            <w:r>
              <w:rPr>
                <w:color w:val="0D0D0D"/>
              </w:rPr>
              <w:t>-</w:t>
            </w:r>
            <w:r>
              <w:rPr>
                <w:rFonts w:hint="eastAsia"/>
                <w:color w:val="0D0D0D"/>
              </w:rPr>
              <w:t>基本信息</w:t>
            </w:r>
          </w:p>
        </w:tc>
        <w:tc>
          <w:tcPr>
            <w:tcW w:w="5307" w:type="dxa"/>
            <w:shd w:val="clear" w:color="auto" w:fill="auto"/>
            <w:vAlign w:val="center"/>
          </w:tcPr>
          <w:p>
            <w:pPr>
              <w:rPr>
                <w:color w:val="0D0D0D"/>
              </w:rPr>
            </w:pPr>
            <w:r>
              <w:rPr>
                <w:rFonts w:hint="eastAsia"/>
                <w:color w:val="0D0D0D"/>
              </w:rPr>
              <w:t>期初：执业护士数</w:t>
            </w:r>
            <w:r>
              <w:rPr>
                <w:color w:val="0D0D0D"/>
              </w:rPr>
              <w:t>-</w:t>
            </w:r>
            <w:r>
              <w:rPr>
                <w:rFonts w:hint="eastAsia"/>
                <w:color w:val="0D0D0D"/>
              </w:rPr>
              <w:t>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10-</w:t>
            </w:r>
            <w:r>
              <w:rPr>
                <w:rFonts w:hint="eastAsia"/>
                <w:color w:val="0D0D0D"/>
              </w:rPr>
              <w:t>变量</w:t>
            </w:r>
            <w:r>
              <w:rPr>
                <w:color w:val="0D0D0D"/>
              </w:rPr>
              <w:t>-</w:t>
            </w:r>
            <w:r>
              <w:rPr>
                <w:rFonts w:hint="eastAsia"/>
                <w:color w:val="0D0D0D"/>
              </w:rPr>
              <w:t>基本信息</w:t>
            </w:r>
          </w:p>
        </w:tc>
        <w:tc>
          <w:tcPr>
            <w:tcW w:w="5307" w:type="dxa"/>
            <w:shd w:val="clear" w:color="auto" w:fill="auto"/>
            <w:vAlign w:val="center"/>
          </w:tcPr>
          <w:p>
            <w:pPr>
              <w:rPr>
                <w:color w:val="0D0D0D"/>
              </w:rPr>
            </w:pPr>
            <w:r>
              <w:rPr>
                <w:rFonts w:hint="eastAsia"/>
                <w:color w:val="0D0D0D"/>
              </w:rPr>
              <w:t>期末：执业护士数</w:t>
            </w:r>
            <w:r>
              <w:rPr>
                <w:color w:val="0D0D0D"/>
              </w:rPr>
              <w:t>-</w:t>
            </w:r>
            <w:r>
              <w:rPr>
                <w:rFonts w:hint="eastAsia"/>
                <w:color w:val="0D0D0D"/>
              </w:rPr>
              <w:t>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10-</w:t>
            </w:r>
            <w:r>
              <w:rPr>
                <w:rFonts w:hint="eastAsia"/>
                <w:color w:val="0D0D0D"/>
              </w:rPr>
              <w:t>变量</w:t>
            </w:r>
            <w:r>
              <w:rPr>
                <w:color w:val="0D0D0D"/>
              </w:rPr>
              <w:t>-</w:t>
            </w:r>
            <w:r>
              <w:rPr>
                <w:rFonts w:hint="eastAsia"/>
                <w:color w:val="0D0D0D"/>
              </w:rPr>
              <w:t>基本信息</w:t>
            </w:r>
          </w:p>
        </w:tc>
        <w:tc>
          <w:tcPr>
            <w:tcW w:w="5307" w:type="dxa"/>
            <w:shd w:val="clear" w:color="auto" w:fill="auto"/>
            <w:vAlign w:val="center"/>
          </w:tcPr>
          <w:p>
            <w:pPr>
              <w:rPr>
                <w:color w:val="0D0D0D"/>
              </w:rPr>
            </w:pPr>
            <w:r>
              <w:rPr>
                <w:rFonts w:hint="eastAsia"/>
                <w:color w:val="000000"/>
              </w:rPr>
              <w:t>期初：ICU执业护士总人数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10-</w:t>
            </w:r>
            <w:r>
              <w:rPr>
                <w:rFonts w:hint="eastAsia"/>
                <w:color w:val="0D0D0D"/>
              </w:rPr>
              <w:t>变量</w:t>
            </w:r>
            <w:r>
              <w:rPr>
                <w:color w:val="0D0D0D"/>
              </w:rPr>
              <w:t>-</w:t>
            </w:r>
            <w:r>
              <w:rPr>
                <w:rFonts w:hint="eastAsia"/>
                <w:color w:val="0D0D0D"/>
              </w:rPr>
              <w:t>基本信息</w:t>
            </w:r>
          </w:p>
        </w:tc>
        <w:tc>
          <w:tcPr>
            <w:tcW w:w="5307" w:type="dxa"/>
            <w:shd w:val="clear" w:color="auto" w:fill="auto"/>
            <w:vAlign w:val="center"/>
          </w:tcPr>
          <w:p>
            <w:pPr>
              <w:rPr>
                <w:color w:val="0D0D0D"/>
              </w:rPr>
            </w:pPr>
            <w:r>
              <w:rPr>
                <w:rFonts w:hint="eastAsia"/>
                <w:color w:val="000000"/>
              </w:rPr>
              <w:t>期末：ICU执业护士总人数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10-</w:t>
            </w:r>
            <w:r>
              <w:rPr>
                <w:rFonts w:hint="eastAsia"/>
                <w:color w:val="0D0D0D"/>
              </w:rPr>
              <w:t>变量</w:t>
            </w:r>
            <w:r>
              <w:rPr>
                <w:color w:val="0D0D0D"/>
              </w:rPr>
              <w:t>-</w:t>
            </w:r>
            <w:r>
              <w:rPr>
                <w:rFonts w:hint="eastAsia"/>
                <w:color w:val="0D0D0D"/>
              </w:rPr>
              <w:t>基本信息</w:t>
            </w:r>
          </w:p>
        </w:tc>
        <w:tc>
          <w:tcPr>
            <w:tcW w:w="5307" w:type="dxa"/>
            <w:shd w:val="clear" w:color="auto" w:fill="auto"/>
            <w:vAlign w:val="center"/>
          </w:tcPr>
          <w:p>
            <w:pPr>
              <w:rPr>
                <w:color w:val="0D0D0D"/>
              </w:rPr>
            </w:pPr>
            <w:r>
              <w:rPr>
                <w:rFonts w:hint="eastAsia"/>
                <w:color w:val="000000"/>
              </w:rPr>
              <w:t>本期：新入ICU患者总数变量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10-</w:t>
            </w:r>
            <w:r>
              <w:rPr>
                <w:rFonts w:hint="eastAsia"/>
                <w:color w:val="0D0D0D"/>
              </w:rPr>
              <w:t>变量</w:t>
            </w:r>
            <w:r>
              <w:rPr>
                <w:color w:val="0D0D0D"/>
              </w:rPr>
              <w:t>-</w:t>
            </w:r>
            <w:r>
              <w:rPr>
                <w:rFonts w:hint="eastAsia"/>
                <w:color w:val="0D0D0D"/>
              </w:rPr>
              <w:t>基本信息</w:t>
            </w:r>
          </w:p>
        </w:tc>
        <w:tc>
          <w:tcPr>
            <w:tcW w:w="5307" w:type="dxa"/>
            <w:shd w:val="clear" w:color="auto" w:fill="auto"/>
            <w:vAlign w:val="center"/>
          </w:tcPr>
          <w:p>
            <w:pPr>
              <w:rPr>
                <w:color w:val="0D0D0D"/>
              </w:rPr>
            </w:pPr>
            <w:r>
              <w:rPr>
                <w:rFonts w:hint="eastAsia"/>
                <w:color w:val="0D0D0D"/>
              </w:rPr>
              <w:t>住院患者实际占用床日数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10-</w:t>
            </w:r>
            <w:r>
              <w:rPr>
                <w:rFonts w:hint="eastAsia"/>
                <w:color w:val="0D0D0D"/>
              </w:rPr>
              <w:t>变量</w:t>
            </w:r>
            <w:r>
              <w:rPr>
                <w:color w:val="0D0D0D"/>
              </w:rPr>
              <w:t>-</w:t>
            </w:r>
            <w:r>
              <w:rPr>
                <w:rFonts w:hint="eastAsia"/>
                <w:color w:val="0D0D0D"/>
              </w:rPr>
              <w:t>基本信息</w:t>
            </w:r>
          </w:p>
        </w:tc>
        <w:tc>
          <w:tcPr>
            <w:tcW w:w="5307" w:type="dxa"/>
            <w:shd w:val="clear" w:color="auto" w:fill="auto"/>
            <w:vAlign w:val="center"/>
          </w:tcPr>
          <w:p>
            <w:pPr>
              <w:rPr>
                <w:color w:val="0D0D0D"/>
              </w:rPr>
            </w:pPr>
            <w:r>
              <w:rPr>
                <w:rFonts w:hint="eastAsia"/>
                <w:color w:val="0D0D0D"/>
              </w:rPr>
              <w:t>期初：在院患者数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10-</w:t>
            </w:r>
            <w:r>
              <w:rPr>
                <w:rFonts w:hint="eastAsia"/>
                <w:color w:val="0D0D0D"/>
              </w:rPr>
              <w:t>变量</w:t>
            </w:r>
            <w:r>
              <w:rPr>
                <w:color w:val="0D0D0D"/>
              </w:rPr>
              <w:t>-</w:t>
            </w:r>
            <w:r>
              <w:rPr>
                <w:rFonts w:hint="eastAsia"/>
                <w:color w:val="0D0D0D"/>
              </w:rPr>
              <w:t>基本信息</w:t>
            </w:r>
          </w:p>
        </w:tc>
        <w:tc>
          <w:tcPr>
            <w:tcW w:w="5307" w:type="dxa"/>
            <w:shd w:val="clear" w:color="auto" w:fill="auto"/>
            <w:vAlign w:val="center"/>
          </w:tcPr>
          <w:p>
            <w:pPr>
              <w:rPr>
                <w:color w:val="0D0D0D"/>
              </w:rPr>
            </w:pPr>
            <w:r>
              <w:rPr>
                <w:rFonts w:hint="eastAsia"/>
                <w:color w:val="0D0D0D"/>
              </w:rPr>
              <w:t>本期入院患者人次数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10-</w:t>
            </w:r>
            <w:r>
              <w:rPr>
                <w:rFonts w:hint="eastAsia"/>
                <w:color w:val="0D0D0D"/>
              </w:rPr>
              <w:t>变量</w:t>
            </w:r>
            <w:r>
              <w:rPr>
                <w:color w:val="0D0D0D"/>
              </w:rPr>
              <w:t>-</w:t>
            </w:r>
            <w:r>
              <w:rPr>
                <w:rFonts w:hint="eastAsia"/>
                <w:color w:val="0D0D0D"/>
              </w:rPr>
              <w:t>基本信息</w:t>
            </w:r>
          </w:p>
        </w:tc>
        <w:tc>
          <w:tcPr>
            <w:tcW w:w="5307" w:type="dxa"/>
            <w:shd w:val="clear" w:color="auto" w:fill="auto"/>
            <w:vAlign w:val="center"/>
          </w:tcPr>
          <w:p>
            <w:pPr>
              <w:rPr>
                <w:color w:val="0D0D0D"/>
              </w:rPr>
            </w:pPr>
            <w:r>
              <w:rPr>
                <w:rFonts w:hint="eastAsia"/>
                <w:color w:val="0D0D0D"/>
              </w:rPr>
              <w:t>住院病区执业护士实际上班小时数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白班责任护士数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白班护理患者人</w:t>
            </w:r>
            <w:r>
              <w:rPr>
                <w:color w:val="0D0D0D"/>
              </w:rPr>
              <w:t>(</w:t>
            </w:r>
            <w:r>
              <w:rPr>
                <w:rFonts w:hint="eastAsia"/>
                <w:color w:val="0D0D0D"/>
              </w:rPr>
              <w:t>日</w:t>
            </w:r>
            <w:r>
              <w:rPr>
                <w:color w:val="0D0D0D"/>
              </w:rPr>
              <w:t>)</w:t>
            </w:r>
            <w:r>
              <w:rPr>
                <w:rFonts w:hint="eastAsia"/>
                <w:color w:val="0D0D0D"/>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夜班责任护士数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夜班护理患者人</w:t>
            </w:r>
            <w:r>
              <w:rPr>
                <w:color w:val="0D0D0D"/>
              </w:rPr>
              <w:t>(</w:t>
            </w:r>
            <w:r>
              <w:rPr>
                <w:rFonts w:hint="eastAsia"/>
                <w:color w:val="0D0D0D"/>
              </w:rPr>
              <w:t>日</w:t>
            </w:r>
            <w:r>
              <w:rPr>
                <w:color w:val="0D0D0D"/>
              </w:rPr>
              <w:t>)</w:t>
            </w:r>
            <w:r>
              <w:rPr>
                <w:rFonts w:hint="eastAsia"/>
                <w:color w:val="0D0D0D"/>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期初：初级护士人数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期末：初级护士人数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期初：初级护师人数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期末：初级护师人数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期初：主管护师人数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期末：主管护师人数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期初：副主任护师人数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期末：副主任护师人数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期末：主任护师人数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期初：中专人数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期末：中专人数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期初：大专人数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期末：大专人数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期初：本科人数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期末：本科人数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期初：硕士人数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期末：硕士人数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期初：博士人数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期末：博士人数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w:t>
            </w:r>
            <w:r>
              <w:rPr>
                <w:color w:val="0D0D0D"/>
              </w:rPr>
              <w:t>&lt;1</w:t>
            </w:r>
            <w:r>
              <w:rPr>
                <w:rFonts w:hint="eastAsia"/>
                <w:color w:val="0D0D0D"/>
              </w:rPr>
              <w:t>年资人数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w:t>
            </w:r>
            <w:r>
              <w:rPr>
                <w:color w:val="0D0D0D"/>
              </w:rPr>
              <w:t>&lt;1</w:t>
            </w:r>
            <w:r>
              <w:rPr>
                <w:rFonts w:hint="eastAsia"/>
                <w:color w:val="0D0D0D"/>
              </w:rPr>
              <w:t>年资人数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w:t>
            </w:r>
            <w:r>
              <w:rPr>
                <w:color w:val="0D0D0D"/>
              </w:rPr>
              <w:t>1</w:t>
            </w:r>
            <w:r>
              <w:rPr>
                <w:rFonts w:hint="eastAsia"/>
                <w:color w:val="0D0D0D"/>
              </w:rPr>
              <w:t>≤</w:t>
            </w:r>
            <w:r>
              <w:rPr>
                <w:color w:val="0D0D0D"/>
              </w:rPr>
              <w:t>y&lt;2</w:t>
            </w:r>
            <w:r>
              <w:rPr>
                <w:rFonts w:hint="eastAsia"/>
                <w:color w:val="0D0D0D"/>
              </w:rPr>
              <w:t>年资人数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w:t>
            </w:r>
            <w:r>
              <w:rPr>
                <w:color w:val="0D0D0D"/>
              </w:rPr>
              <w:t>1</w:t>
            </w:r>
            <w:r>
              <w:rPr>
                <w:rFonts w:hint="eastAsia"/>
                <w:color w:val="0D0D0D"/>
              </w:rPr>
              <w:t>≤</w:t>
            </w:r>
            <w:r>
              <w:rPr>
                <w:color w:val="0D0D0D"/>
              </w:rPr>
              <w:t>y&lt;2</w:t>
            </w:r>
            <w:r>
              <w:rPr>
                <w:rFonts w:hint="eastAsia"/>
                <w:color w:val="0D0D0D"/>
              </w:rPr>
              <w:t>年资人数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w:t>
            </w:r>
            <w:r>
              <w:rPr>
                <w:color w:val="0D0D0D"/>
              </w:rPr>
              <w:t>2</w:t>
            </w:r>
            <w:r>
              <w:rPr>
                <w:rFonts w:hint="eastAsia"/>
                <w:color w:val="0D0D0D"/>
              </w:rPr>
              <w:t>≤</w:t>
            </w:r>
            <w:r>
              <w:rPr>
                <w:color w:val="0D0D0D"/>
              </w:rPr>
              <w:t>y&lt;5</w:t>
            </w:r>
            <w:r>
              <w:rPr>
                <w:rFonts w:hint="eastAsia"/>
                <w:color w:val="0D0D0D"/>
              </w:rPr>
              <w:t>年资人数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w:t>
            </w:r>
            <w:r>
              <w:rPr>
                <w:color w:val="0D0D0D"/>
              </w:rPr>
              <w:t>2</w:t>
            </w:r>
            <w:r>
              <w:rPr>
                <w:rFonts w:hint="eastAsia"/>
                <w:color w:val="0D0D0D"/>
              </w:rPr>
              <w:t>≤</w:t>
            </w:r>
            <w:r>
              <w:rPr>
                <w:color w:val="0D0D0D"/>
              </w:rPr>
              <w:t>y&lt;5</w:t>
            </w:r>
            <w:r>
              <w:rPr>
                <w:rFonts w:hint="eastAsia"/>
                <w:color w:val="0D0D0D"/>
              </w:rPr>
              <w:t>年资人数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w:t>
            </w:r>
            <w:r>
              <w:rPr>
                <w:color w:val="0D0D0D"/>
              </w:rPr>
              <w:t>5</w:t>
            </w:r>
            <w:r>
              <w:rPr>
                <w:rFonts w:hint="eastAsia"/>
                <w:color w:val="0D0D0D"/>
              </w:rPr>
              <w:t>≤</w:t>
            </w:r>
            <w:r>
              <w:rPr>
                <w:color w:val="0D0D0D"/>
              </w:rPr>
              <w:t>y&lt;10</w:t>
            </w:r>
            <w:r>
              <w:rPr>
                <w:rFonts w:hint="eastAsia"/>
                <w:color w:val="0D0D0D"/>
              </w:rPr>
              <w:t>年资人数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w:t>
            </w:r>
            <w:r>
              <w:rPr>
                <w:color w:val="0D0D0D"/>
              </w:rPr>
              <w:t>5</w:t>
            </w:r>
            <w:r>
              <w:rPr>
                <w:rFonts w:hint="eastAsia"/>
                <w:color w:val="0D0D0D"/>
              </w:rPr>
              <w:t>≤</w:t>
            </w:r>
            <w:r>
              <w:rPr>
                <w:color w:val="0D0D0D"/>
              </w:rPr>
              <w:t>y&lt;10</w:t>
            </w:r>
            <w:r>
              <w:rPr>
                <w:rFonts w:hint="eastAsia"/>
                <w:color w:val="0D0D0D"/>
              </w:rPr>
              <w:t>年资人数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w:t>
            </w:r>
            <w:r>
              <w:rPr>
                <w:color w:val="0D0D0D"/>
              </w:rPr>
              <w:t>10</w:t>
            </w:r>
            <w:r>
              <w:rPr>
                <w:rFonts w:hint="eastAsia"/>
                <w:color w:val="0D0D0D"/>
              </w:rPr>
              <w:t>≤</w:t>
            </w:r>
            <w:r>
              <w:rPr>
                <w:color w:val="0D0D0D"/>
              </w:rPr>
              <w:t>y&lt;20</w:t>
            </w:r>
            <w:r>
              <w:rPr>
                <w:rFonts w:hint="eastAsia"/>
                <w:color w:val="0D0D0D"/>
              </w:rPr>
              <w:t>年资人数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w:t>
            </w:r>
            <w:r>
              <w:rPr>
                <w:color w:val="0D0D0D"/>
              </w:rPr>
              <w:t>10</w:t>
            </w:r>
            <w:r>
              <w:rPr>
                <w:rFonts w:hint="eastAsia"/>
                <w:color w:val="0D0D0D"/>
              </w:rPr>
              <w:t>≤</w:t>
            </w:r>
            <w:r>
              <w:rPr>
                <w:color w:val="0D0D0D"/>
              </w:rPr>
              <w:t>y&lt;20</w:t>
            </w:r>
            <w:r>
              <w:rPr>
                <w:rFonts w:hint="eastAsia"/>
                <w:color w:val="0D0D0D"/>
              </w:rPr>
              <w:t>年资人数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期初：≥</w:t>
            </w:r>
            <w:r>
              <w:rPr>
                <w:color w:val="0D0D0D"/>
              </w:rPr>
              <w:t>20</w:t>
            </w:r>
            <w:r>
              <w:rPr>
                <w:rFonts w:hint="eastAsia"/>
                <w:color w:val="0D0D0D"/>
              </w:rPr>
              <w:t>年资人数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期末：≥</w:t>
            </w:r>
            <w:r>
              <w:rPr>
                <w:color w:val="0D0D0D"/>
              </w:rPr>
              <w:t>20</w:t>
            </w:r>
            <w:r>
              <w:rPr>
                <w:rFonts w:hint="eastAsia"/>
                <w:color w:val="0D0D0D"/>
              </w:rPr>
              <w:t>年资人数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初级护士离职人数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离职总人数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初级护师离职人数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主管护师离职人数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副主任护师离职人数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主任护师离职人数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中专离职人数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大专离职人数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本科离职人数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硕士离职人数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博士离职人数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color w:val="0D0D0D"/>
              </w:rPr>
              <w:t>&lt;1</w:t>
            </w:r>
            <w:r>
              <w:rPr>
                <w:rFonts w:hint="eastAsia"/>
                <w:color w:val="0D0D0D"/>
              </w:rPr>
              <w:t>年资离职人数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color w:val="0D0D0D"/>
              </w:rPr>
              <w:t>1</w:t>
            </w:r>
            <w:r>
              <w:rPr>
                <w:rFonts w:hint="eastAsia"/>
                <w:color w:val="0D0D0D"/>
              </w:rPr>
              <w:t>≤</w:t>
            </w:r>
            <w:r>
              <w:rPr>
                <w:color w:val="0D0D0D"/>
              </w:rPr>
              <w:t>y&lt;2</w:t>
            </w:r>
            <w:r>
              <w:rPr>
                <w:rFonts w:hint="eastAsia"/>
                <w:color w:val="0D0D0D"/>
              </w:rPr>
              <w:t>年资离职人数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color w:val="0D0D0D"/>
              </w:rPr>
              <w:t>2</w:t>
            </w:r>
            <w:r>
              <w:rPr>
                <w:rFonts w:hint="eastAsia"/>
                <w:color w:val="0D0D0D"/>
              </w:rPr>
              <w:t>≤</w:t>
            </w:r>
            <w:r>
              <w:rPr>
                <w:color w:val="0D0D0D"/>
              </w:rPr>
              <w:t>y&lt;5</w:t>
            </w:r>
            <w:r>
              <w:rPr>
                <w:rFonts w:hint="eastAsia"/>
                <w:color w:val="0D0D0D"/>
              </w:rPr>
              <w:t>年资离职人数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color w:val="0D0D0D"/>
              </w:rPr>
              <w:t>5</w:t>
            </w:r>
            <w:r>
              <w:rPr>
                <w:rFonts w:hint="eastAsia"/>
                <w:color w:val="0D0D0D"/>
              </w:rPr>
              <w:t>≤</w:t>
            </w:r>
            <w:r>
              <w:rPr>
                <w:color w:val="0D0D0D"/>
              </w:rPr>
              <w:t>y&lt;10</w:t>
            </w:r>
            <w:r>
              <w:rPr>
                <w:rFonts w:hint="eastAsia"/>
                <w:color w:val="0D0D0D"/>
              </w:rPr>
              <w:t>年资离职人数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color w:val="0D0D0D"/>
              </w:rPr>
              <w:t>10</w:t>
            </w:r>
            <w:r>
              <w:rPr>
                <w:rFonts w:hint="eastAsia"/>
                <w:color w:val="0D0D0D"/>
              </w:rPr>
              <w:t>≤</w:t>
            </w:r>
            <w:r>
              <w:rPr>
                <w:color w:val="0D0D0D"/>
              </w:rPr>
              <w:t>y&lt;20</w:t>
            </w:r>
            <w:r>
              <w:rPr>
                <w:rFonts w:hint="eastAsia"/>
                <w:color w:val="0D0D0D"/>
              </w:rPr>
              <w:t>年资离职人数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20-</w:t>
            </w:r>
            <w:r>
              <w:rPr>
                <w:rFonts w:hint="eastAsia"/>
                <w:color w:val="0D0D0D"/>
              </w:rPr>
              <w:t>变量</w:t>
            </w:r>
            <w:r>
              <w:rPr>
                <w:color w:val="0D0D0D"/>
              </w:rPr>
              <w:t>-</w:t>
            </w:r>
            <w:r>
              <w:rPr>
                <w:rFonts w:hint="eastAsia"/>
                <w:color w:val="0D0D0D"/>
              </w:rPr>
              <w:t>人员</w:t>
            </w:r>
          </w:p>
        </w:tc>
        <w:tc>
          <w:tcPr>
            <w:tcW w:w="5307" w:type="dxa"/>
            <w:shd w:val="clear" w:color="auto" w:fill="auto"/>
            <w:vAlign w:val="center"/>
          </w:tcPr>
          <w:p>
            <w:pPr>
              <w:rPr>
                <w:color w:val="0D0D0D"/>
              </w:rPr>
            </w:pPr>
            <w:r>
              <w:rPr>
                <w:rFonts w:hint="eastAsia"/>
                <w:color w:val="0D0D0D"/>
              </w:rPr>
              <w:t>≥</w:t>
            </w:r>
            <w:r>
              <w:rPr>
                <w:color w:val="0D0D0D"/>
              </w:rPr>
              <w:t>20</w:t>
            </w:r>
            <w:r>
              <w:rPr>
                <w:rFonts w:hint="eastAsia"/>
                <w:color w:val="0D0D0D"/>
              </w:rPr>
              <w:t>年资离职人数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30-</w:t>
            </w:r>
            <w:r>
              <w:rPr>
                <w:rFonts w:hint="eastAsia"/>
                <w:color w:val="0D0D0D"/>
              </w:rPr>
              <w:t>变量</w:t>
            </w:r>
            <w:r>
              <w:rPr>
                <w:color w:val="0D0D0D"/>
              </w:rPr>
              <w:t>-</w:t>
            </w:r>
            <w:r>
              <w:rPr>
                <w:rFonts w:hint="eastAsia"/>
                <w:color w:val="0D0D0D"/>
              </w:rPr>
              <w:t>不良事件</w:t>
            </w:r>
          </w:p>
        </w:tc>
        <w:tc>
          <w:tcPr>
            <w:tcW w:w="5307" w:type="dxa"/>
            <w:shd w:val="clear" w:color="auto" w:fill="auto"/>
            <w:vAlign w:val="center"/>
          </w:tcPr>
          <w:p>
            <w:pPr>
              <w:rPr>
                <w:color w:val="0D0D0D"/>
              </w:rPr>
            </w:pPr>
            <w:r>
              <w:rPr>
                <w:rFonts w:hint="eastAsia"/>
                <w:color w:val="0D0D0D"/>
              </w:rPr>
              <w:t>某时点住院患者总数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30-</w:t>
            </w:r>
            <w:r>
              <w:rPr>
                <w:rFonts w:hint="eastAsia"/>
                <w:color w:val="0D0D0D"/>
              </w:rPr>
              <w:t>变量</w:t>
            </w:r>
            <w:r>
              <w:rPr>
                <w:color w:val="0D0D0D"/>
              </w:rPr>
              <w:t>-</w:t>
            </w:r>
            <w:r>
              <w:rPr>
                <w:rFonts w:hint="eastAsia"/>
                <w:color w:val="0D0D0D"/>
              </w:rPr>
              <w:t>不良事件</w:t>
            </w:r>
          </w:p>
        </w:tc>
        <w:tc>
          <w:tcPr>
            <w:tcW w:w="5307" w:type="dxa"/>
            <w:shd w:val="clear" w:color="auto" w:fill="auto"/>
            <w:vAlign w:val="center"/>
          </w:tcPr>
          <w:p>
            <w:pPr>
              <w:rPr>
                <w:color w:val="0D0D0D"/>
              </w:rPr>
            </w:pPr>
            <w:r>
              <w:rPr>
                <w:rFonts w:hint="eastAsia"/>
                <w:color w:val="0D0D0D"/>
              </w:rPr>
              <w:t>某时点压疮现患数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30-</w:t>
            </w:r>
            <w:r>
              <w:rPr>
                <w:rFonts w:hint="eastAsia"/>
                <w:color w:val="0D0D0D"/>
              </w:rPr>
              <w:t>变量</w:t>
            </w:r>
            <w:r>
              <w:rPr>
                <w:color w:val="0D0D0D"/>
              </w:rPr>
              <w:t>-</w:t>
            </w:r>
            <w:r>
              <w:rPr>
                <w:rFonts w:hint="eastAsia"/>
                <w:color w:val="0D0D0D"/>
              </w:rPr>
              <w:t>不良事件</w:t>
            </w:r>
          </w:p>
        </w:tc>
        <w:tc>
          <w:tcPr>
            <w:tcW w:w="5307" w:type="dxa"/>
            <w:shd w:val="clear" w:color="auto" w:fill="auto"/>
            <w:vAlign w:val="center"/>
          </w:tcPr>
          <w:p>
            <w:pPr>
              <w:rPr>
                <w:color w:val="0D0D0D"/>
              </w:rPr>
            </w:pPr>
            <w:r>
              <w:rPr>
                <w:color w:val="0D0D0D"/>
              </w:rPr>
              <w:t>2+</w:t>
            </w:r>
            <w:r>
              <w:rPr>
                <w:rFonts w:hint="eastAsia"/>
                <w:color w:val="0D0D0D"/>
              </w:rPr>
              <w:t>期压疮发生例次数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30-</w:t>
            </w:r>
            <w:r>
              <w:rPr>
                <w:rFonts w:hint="eastAsia"/>
                <w:color w:val="0D0D0D"/>
              </w:rPr>
              <w:t>变量</w:t>
            </w:r>
            <w:r>
              <w:rPr>
                <w:color w:val="0D0D0D"/>
              </w:rPr>
              <w:t>-</w:t>
            </w:r>
            <w:r>
              <w:rPr>
                <w:rFonts w:hint="eastAsia"/>
                <w:color w:val="0D0D0D"/>
              </w:rPr>
              <w:t>不良事件</w:t>
            </w:r>
          </w:p>
        </w:tc>
        <w:tc>
          <w:tcPr>
            <w:tcW w:w="5307" w:type="dxa"/>
            <w:shd w:val="clear" w:color="auto" w:fill="auto"/>
            <w:vAlign w:val="center"/>
          </w:tcPr>
          <w:p>
            <w:pPr>
              <w:rPr>
                <w:color w:val="0D0D0D"/>
              </w:rPr>
            </w:pPr>
            <w:r>
              <w:rPr>
                <w:rFonts w:hint="eastAsia"/>
                <w:color w:val="0D0D0D"/>
              </w:rPr>
              <w:t>新发压疮例数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30-</w:t>
            </w:r>
            <w:r>
              <w:rPr>
                <w:rFonts w:hint="eastAsia"/>
                <w:color w:val="0D0D0D"/>
              </w:rPr>
              <w:t>变量</w:t>
            </w:r>
            <w:r>
              <w:rPr>
                <w:color w:val="0D0D0D"/>
              </w:rPr>
              <w:t>-</w:t>
            </w:r>
            <w:r>
              <w:rPr>
                <w:rFonts w:hint="eastAsia"/>
                <w:color w:val="0D0D0D"/>
              </w:rPr>
              <w:t>不良事件</w:t>
            </w:r>
          </w:p>
        </w:tc>
        <w:tc>
          <w:tcPr>
            <w:tcW w:w="5307" w:type="dxa"/>
            <w:shd w:val="clear" w:color="auto" w:fill="auto"/>
            <w:vAlign w:val="center"/>
          </w:tcPr>
          <w:p>
            <w:pPr>
              <w:rPr>
                <w:color w:val="0D0D0D"/>
              </w:rPr>
            </w:pPr>
            <w:r>
              <w:rPr>
                <w:rFonts w:hint="eastAsia"/>
                <w:color w:val="0D0D0D"/>
              </w:rPr>
              <w:t>跌倒发生例次数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30-</w:t>
            </w:r>
            <w:r>
              <w:rPr>
                <w:rFonts w:hint="eastAsia"/>
                <w:color w:val="0D0D0D"/>
              </w:rPr>
              <w:t>变量</w:t>
            </w:r>
            <w:r>
              <w:rPr>
                <w:color w:val="0D0D0D"/>
              </w:rPr>
              <w:t>-</w:t>
            </w:r>
            <w:r>
              <w:rPr>
                <w:rFonts w:hint="eastAsia"/>
                <w:color w:val="0D0D0D"/>
              </w:rPr>
              <w:t>不良事件</w:t>
            </w:r>
          </w:p>
        </w:tc>
        <w:tc>
          <w:tcPr>
            <w:tcW w:w="5307" w:type="dxa"/>
            <w:shd w:val="clear" w:color="auto" w:fill="auto"/>
            <w:vAlign w:val="center"/>
          </w:tcPr>
          <w:p>
            <w:pPr>
              <w:rPr>
                <w:color w:val="0D0D0D"/>
              </w:rPr>
            </w:pPr>
            <w:r>
              <w:rPr>
                <w:rFonts w:hint="eastAsia"/>
                <w:color w:val="0D0D0D"/>
              </w:rPr>
              <w:t>跌倒伤害例次数</w:t>
            </w:r>
            <w:r>
              <w:rPr>
                <w:color w:val="0D0D0D"/>
              </w:rPr>
              <w:t>:0</w:t>
            </w:r>
            <w:r>
              <w:rPr>
                <w:rFonts w:hint="eastAsia"/>
                <w:color w:val="0D0D0D"/>
              </w:rPr>
              <w:t>级</w:t>
            </w:r>
            <w:r>
              <w:rPr>
                <w:color w:val="0D0D0D"/>
              </w:rPr>
              <w:t>(</w:t>
            </w:r>
            <w:r>
              <w:rPr>
                <w:rFonts w:hint="eastAsia"/>
                <w:color w:val="0D0D0D"/>
              </w:rPr>
              <w:t>无伤害</w:t>
            </w:r>
            <w:r>
              <w:rPr>
                <w:color w:val="0D0D0D"/>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30-</w:t>
            </w:r>
            <w:r>
              <w:rPr>
                <w:rFonts w:hint="eastAsia"/>
                <w:color w:val="0D0D0D"/>
              </w:rPr>
              <w:t>变量</w:t>
            </w:r>
            <w:r>
              <w:rPr>
                <w:color w:val="0D0D0D"/>
              </w:rPr>
              <w:t>-</w:t>
            </w:r>
            <w:r>
              <w:rPr>
                <w:rFonts w:hint="eastAsia"/>
                <w:color w:val="0D0D0D"/>
              </w:rPr>
              <w:t>不良事件</w:t>
            </w:r>
          </w:p>
        </w:tc>
        <w:tc>
          <w:tcPr>
            <w:tcW w:w="5307" w:type="dxa"/>
            <w:shd w:val="clear" w:color="auto" w:fill="auto"/>
            <w:vAlign w:val="center"/>
          </w:tcPr>
          <w:p>
            <w:pPr>
              <w:rPr>
                <w:color w:val="0D0D0D"/>
              </w:rPr>
            </w:pPr>
            <w:r>
              <w:rPr>
                <w:rFonts w:hint="eastAsia"/>
                <w:color w:val="0D0D0D"/>
              </w:rPr>
              <w:t>跌倒伤害例次数</w:t>
            </w:r>
            <w:r>
              <w:rPr>
                <w:color w:val="0D0D0D"/>
              </w:rPr>
              <w:t>:1</w:t>
            </w:r>
            <w:r>
              <w:rPr>
                <w:rFonts w:hint="eastAsia"/>
                <w:color w:val="0D0D0D"/>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30-</w:t>
            </w:r>
            <w:r>
              <w:rPr>
                <w:rFonts w:hint="eastAsia"/>
                <w:color w:val="0D0D0D"/>
              </w:rPr>
              <w:t>变量</w:t>
            </w:r>
            <w:r>
              <w:rPr>
                <w:color w:val="0D0D0D"/>
              </w:rPr>
              <w:t>-</w:t>
            </w:r>
            <w:r>
              <w:rPr>
                <w:rFonts w:hint="eastAsia"/>
                <w:color w:val="0D0D0D"/>
              </w:rPr>
              <w:t>不良事件</w:t>
            </w:r>
          </w:p>
        </w:tc>
        <w:tc>
          <w:tcPr>
            <w:tcW w:w="5307" w:type="dxa"/>
            <w:shd w:val="clear" w:color="auto" w:fill="auto"/>
            <w:vAlign w:val="center"/>
          </w:tcPr>
          <w:p>
            <w:pPr>
              <w:rPr>
                <w:color w:val="0D0D0D"/>
              </w:rPr>
            </w:pPr>
            <w:r>
              <w:rPr>
                <w:rFonts w:hint="eastAsia"/>
                <w:color w:val="0D0D0D"/>
              </w:rPr>
              <w:t>跌倒伤害例次数</w:t>
            </w:r>
            <w:r>
              <w:rPr>
                <w:color w:val="0D0D0D"/>
              </w:rPr>
              <w:t>:2</w:t>
            </w:r>
            <w:r>
              <w:rPr>
                <w:rFonts w:hint="eastAsia"/>
                <w:color w:val="0D0D0D"/>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30-</w:t>
            </w:r>
            <w:r>
              <w:rPr>
                <w:rFonts w:hint="eastAsia"/>
                <w:color w:val="0D0D0D"/>
              </w:rPr>
              <w:t>变量</w:t>
            </w:r>
            <w:r>
              <w:rPr>
                <w:color w:val="0D0D0D"/>
              </w:rPr>
              <w:t>-</w:t>
            </w:r>
            <w:r>
              <w:rPr>
                <w:rFonts w:hint="eastAsia"/>
                <w:color w:val="0D0D0D"/>
              </w:rPr>
              <w:t>不良事件</w:t>
            </w:r>
          </w:p>
        </w:tc>
        <w:tc>
          <w:tcPr>
            <w:tcW w:w="5307" w:type="dxa"/>
            <w:shd w:val="clear" w:color="auto" w:fill="auto"/>
            <w:vAlign w:val="center"/>
          </w:tcPr>
          <w:p>
            <w:pPr>
              <w:rPr>
                <w:color w:val="0D0D0D"/>
              </w:rPr>
            </w:pPr>
            <w:r>
              <w:rPr>
                <w:rFonts w:hint="eastAsia"/>
                <w:color w:val="0D0D0D"/>
              </w:rPr>
              <w:t>跌倒伤害例次数</w:t>
            </w:r>
            <w:r>
              <w:rPr>
                <w:color w:val="0D0D0D"/>
              </w:rPr>
              <w:t>:3</w:t>
            </w:r>
            <w:r>
              <w:rPr>
                <w:rFonts w:hint="eastAsia"/>
                <w:color w:val="0D0D0D"/>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30-</w:t>
            </w:r>
            <w:r>
              <w:rPr>
                <w:rFonts w:hint="eastAsia"/>
                <w:color w:val="0D0D0D"/>
              </w:rPr>
              <w:t>变量</w:t>
            </w:r>
            <w:r>
              <w:rPr>
                <w:color w:val="0D0D0D"/>
              </w:rPr>
              <w:t>-</w:t>
            </w:r>
            <w:r>
              <w:rPr>
                <w:rFonts w:hint="eastAsia"/>
                <w:color w:val="0D0D0D"/>
              </w:rPr>
              <w:t>不良事件</w:t>
            </w:r>
          </w:p>
        </w:tc>
        <w:tc>
          <w:tcPr>
            <w:tcW w:w="5307" w:type="dxa"/>
            <w:shd w:val="clear" w:color="auto" w:fill="auto"/>
            <w:vAlign w:val="center"/>
          </w:tcPr>
          <w:p>
            <w:pPr>
              <w:rPr>
                <w:color w:val="0D0D0D"/>
              </w:rPr>
            </w:pPr>
            <w:r>
              <w:rPr>
                <w:rFonts w:hint="eastAsia"/>
                <w:color w:val="0D0D0D"/>
              </w:rPr>
              <w:t>跌倒伤害例次数</w:t>
            </w:r>
            <w:r>
              <w:rPr>
                <w:color w:val="0D0D0D"/>
              </w:rPr>
              <w:t>:</w:t>
            </w:r>
            <w:r>
              <w:rPr>
                <w:rFonts w:hint="eastAsia"/>
                <w:color w:val="0D0D0D"/>
              </w:rPr>
              <w:t>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30-</w:t>
            </w:r>
            <w:r>
              <w:rPr>
                <w:rFonts w:hint="eastAsia"/>
                <w:color w:val="0D0D0D"/>
              </w:rPr>
              <w:t>变量</w:t>
            </w:r>
            <w:r>
              <w:rPr>
                <w:color w:val="0D0D0D"/>
              </w:rPr>
              <w:t>-</w:t>
            </w:r>
            <w:r>
              <w:rPr>
                <w:rFonts w:hint="eastAsia"/>
                <w:color w:val="0D0D0D"/>
              </w:rPr>
              <w:t>不良事件</w:t>
            </w:r>
          </w:p>
        </w:tc>
        <w:tc>
          <w:tcPr>
            <w:tcW w:w="5307" w:type="dxa"/>
            <w:shd w:val="clear" w:color="auto" w:fill="auto"/>
            <w:vAlign w:val="center"/>
          </w:tcPr>
          <w:p>
            <w:pPr>
              <w:rPr>
                <w:color w:val="0D0D0D"/>
              </w:rPr>
            </w:pPr>
            <w:r>
              <w:rPr>
                <w:rFonts w:hint="eastAsia"/>
                <w:color w:val="0D0D0D"/>
              </w:rPr>
              <w:t>跌倒伤害例次数</w:t>
            </w:r>
            <w:r>
              <w:rPr>
                <w:color w:val="0D0D0D"/>
              </w:rPr>
              <w:t>-</w:t>
            </w:r>
            <w:r>
              <w:rPr>
                <w:rFonts w:hint="eastAsia"/>
                <w:color w:val="0D0D0D"/>
              </w:rPr>
              <w:t>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30-</w:t>
            </w:r>
            <w:r>
              <w:rPr>
                <w:rFonts w:hint="eastAsia"/>
                <w:color w:val="0D0D0D"/>
              </w:rPr>
              <w:t>变量</w:t>
            </w:r>
            <w:r>
              <w:rPr>
                <w:color w:val="0D0D0D"/>
              </w:rPr>
              <w:t>-</w:t>
            </w:r>
            <w:r>
              <w:rPr>
                <w:rFonts w:hint="eastAsia"/>
                <w:color w:val="0D0D0D"/>
              </w:rPr>
              <w:t>不良事件</w:t>
            </w:r>
          </w:p>
        </w:tc>
        <w:tc>
          <w:tcPr>
            <w:tcW w:w="5307" w:type="dxa"/>
            <w:shd w:val="clear" w:color="auto" w:fill="auto"/>
            <w:vAlign w:val="center"/>
          </w:tcPr>
          <w:p>
            <w:pPr>
              <w:rPr>
                <w:color w:val="0D0D0D"/>
              </w:rPr>
            </w:pPr>
            <w:r>
              <w:rPr>
                <w:rFonts w:hint="eastAsia"/>
                <w:color w:val="0D0D0D"/>
              </w:rPr>
              <w:t>住院患者身体约束日数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40-</w:t>
            </w:r>
            <w:r>
              <w:rPr>
                <w:rFonts w:hint="eastAsia"/>
                <w:color w:val="0D0D0D"/>
              </w:rPr>
              <w:t>变量</w:t>
            </w:r>
            <w:r>
              <w:rPr>
                <w:color w:val="0D0D0D"/>
              </w:rPr>
              <w:t>-</w:t>
            </w:r>
            <w:r>
              <w:rPr>
                <w:rFonts w:hint="eastAsia"/>
                <w:color w:val="0D0D0D"/>
              </w:rPr>
              <w:t>管路</w:t>
            </w:r>
          </w:p>
        </w:tc>
        <w:tc>
          <w:tcPr>
            <w:tcW w:w="5307" w:type="dxa"/>
            <w:shd w:val="clear" w:color="auto" w:fill="auto"/>
            <w:vAlign w:val="center"/>
          </w:tcPr>
          <w:p>
            <w:pPr>
              <w:rPr>
                <w:color w:val="0D0D0D"/>
              </w:rPr>
            </w:pPr>
            <w:r>
              <w:rPr>
                <w:rFonts w:hint="eastAsia"/>
                <w:color w:val="0D0D0D"/>
              </w:rPr>
              <w:t>非计划拔管发生次数</w:t>
            </w:r>
            <w:r>
              <w:rPr>
                <w:color w:val="0D0D0D"/>
              </w:rPr>
              <w:t>-</w:t>
            </w:r>
            <w:r>
              <w:rPr>
                <w:rFonts w:hint="eastAsia"/>
                <w:color w:val="0D0D0D"/>
              </w:rPr>
              <w:t>尿管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40-</w:t>
            </w:r>
            <w:r>
              <w:rPr>
                <w:rFonts w:hint="eastAsia"/>
                <w:color w:val="0D0D0D"/>
              </w:rPr>
              <w:t>变量</w:t>
            </w:r>
            <w:r>
              <w:rPr>
                <w:color w:val="0D0D0D"/>
              </w:rPr>
              <w:t>-</w:t>
            </w:r>
            <w:r>
              <w:rPr>
                <w:rFonts w:hint="eastAsia"/>
                <w:color w:val="0D0D0D"/>
              </w:rPr>
              <w:t>管路</w:t>
            </w:r>
          </w:p>
        </w:tc>
        <w:tc>
          <w:tcPr>
            <w:tcW w:w="5307" w:type="dxa"/>
            <w:shd w:val="clear" w:color="auto" w:fill="auto"/>
            <w:vAlign w:val="center"/>
          </w:tcPr>
          <w:p>
            <w:pPr>
              <w:rPr>
                <w:color w:val="0D0D0D"/>
              </w:rPr>
            </w:pPr>
            <w:r>
              <w:rPr>
                <w:rFonts w:hint="eastAsia"/>
                <w:color w:val="0D0D0D"/>
              </w:rPr>
              <w:t>非计划拔管发生次数</w:t>
            </w:r>
            <w:r>
              <w:rPr>
                <w:color w:val="0D0D0D"/>
              </w:rPr>
              <w:t>-</w:t>
            </w:r>
            <w:r>
              <w:rPr>
                <w:rFonts w:hint="eastAsia"/>
                <w:color w:val="0D0D0D"/>
              </w:rPr>
              <w:t>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40-</w:t>
            </w:r>
            <w:r>
              <w:rPr>
                <w:rFonts w:hint="eastAsia"/>
                <w:color w:val="0D0D0D"/>
              </w:rPr>
              <w:t>变量</w:t>
            </w:r>
            <w:r>
              <w:rPr>
                <w:color w:val="0D0D0D"/>
              </w:rPr>
              <w:t>-</w:t>
            </w:r>
            <w:r>
              <w:rPr>
                <w:rFonts w:hint="eastAsia"/>
                <w:color w:val="0D0D0D"/>
              </w:rPr>
              <w:t>管路</w:t>
            </w:r>
          </w:p>
        </w:tc>
        <w:tc>
          <w:tcPr>
            <w:tcW w:w="5307" w:type="dxa"/>
            <w:shd w:val="clear" w:color="auto" w:fill="auto"/>
            <w:vAlign w:val="center"/>
          </w:tcPr>
          <w:p>
            <w:pPr>
              <w:rPr>
                <w:color w:val="0D0D0D"/>
              </w:rPr>
            </w:pPr>
            <w:r>
              <w:rPr>
                <w:rFonts w:hint="eastAsia"/>
                <w:color w:val="0D0D0D"/>
              </w:rPr>
              <w:t>非计划拔管发生次数</w:t>
            </w:r>
            <w:r>
              <w:rPr>
                <w:color w:val="0D0D0D"/>
              </w:rPr>
              <w:t>-PICC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40-</w:t>
            </w:r>
            <w:r>
              <w:rPr>
                <w:rFonts w:hint="eastAsia"/>
                <w:color w:val="0D0D0D"/>
              </w:rPr>
              <w:t>变量</w:t>
            </w:r>
            <w:r>
              <w:rPr>
                <w:color w:val="0D0D0D"/>
              </w:rPr>
              <w:t>-</w:t>
            </w:r>
            <w:r>
              <w:rPr>
                <w:rFonts w:hint="eastAsia"/>
                <w:color w:val="0D0D0D"/>
              </w:rPr>
              <w:t>管路</w:t>
            </w:r>
          </w:p>
        </w:tc>
        <w:tc>
          <w:tcPr>
            <w:tcW w:w="5307" w:type="dxa"/>
            <w:shd w:val="clear" w:color="auto" w:fill="auto"/>
            <w:vAlign w:val="center"/>
          </w:tcPr>
          <w:p>
            <w:pPr>
              <w:rPr>
                <w:color w:val="0D0D0D"/>
              </w:rPr>
            </w:pPr>
            <w:r>
              <w:rPr>
                <w:rFonts w:hint="eastAsia"/>
                <w:color w:val="0D0D0D"/>
              </w:rPr>
              <w:t>非计划拔管发生次数</w:t>
            </w:r>
            <w:r>
              <w:rPr>
                <w:color w:val="0D0D0D"/>
              </w:rPr>
              <w:t>-CVC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40-</w:t>
            </w:r>
            <w:r>
              <w:rPr>
                <w:rFonts w:hint="eastAsia"/>
                <w:color w:val="0D0D0D"/>
              </w:rPr>
              <w:t>变量</w:t>
            </w:r>
            <w:r>
              <w:rPr>
                <w:color w:val="0D0D0D"/>
              </w:rPr>
              <w:t>-</w:t>
            </w:r>
            <w:r>
              <w:rPr>
                <w:rFonts w:hint="eastAsia"/>
                <w:color w:val="0D0D0D"/>
              </w:rPr>
              <w:t>管路</w:t>
            </w:r>
          </w:p>
        </w:tc>
        <w:tc>
          <w:tcPr>
            <w:tcW w:w="5307" w:type="dxa"/>
            <w:shd w:val="clear" w:color="auto" w:fill="auto"/>
            <w:vAlign w:val="center"/>
          </w:tcPr>
          <w:p>
            <w:pPr>
              <w:rPr>
                <w:color w:val="0D0D0D"/>
              </w:rPr>
            </w:pPr>
            <w:r>
              <w:rPr>
                <w:rFonts w:hint="eastAsia"/>
                <w:color w:val="0D0D0D"/>
              </w:rPr>
              <w:t>非计划拔管发生次数</w:t>
            </w:r>
            <w:r>
              <w:rPr>
                <w:color w:val="0D0D0D"/>
              </w:rPr>
              <w:t>-</w:t>
            </w:r>
            <w:r>
              <w:rPr>
                <w:rFonts w:hint="eastAsia"/>
                <w:color w:val="0D0D0D"/>
              </w:rPr>
              <w:t>气管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40-</w:t>
            </w:r>
            <w:r>
              <w:rPr>
                <w:rFonts w:hint="eastAsia"/>
                <w:color w:val="0D0D0D"/>
              </w:rPr>
              <w:t>变量</w:t>
            </w:r>
            <w:r>
              <w:rPr>
                <w:color w:val="0D0D0D"/>
              </w:rPr>
              <w:t>-</w:t>
            </w:r>
            <w:r>
              <w:rPr>
                <w:rFonts w:hint="eastAsia"/>
                <w:color w:val="0D0D0D"/>
              </w:rPr>
              <w:t>管路</w:t>
            </w:r>
          </w:p>
        </w:tc>
        <w:tc>
          <w:tcPr>
            <w:tcW w:w="5307" w:type="dxa"/>
            <w:shd w:val="clear" w:color="auto" w:fill="auto"/>
            <w:vAlign w:val="center"/>
          </w:tcPr>
          <w:p>
            <w:pPr>
              <w:rPr>
                <w:color w:val="0D0D0D"/>
              </w:rPr>
            </w:pPr>
            <w:r>
              <w:rPr>
                <w:rFonts w:hint="eastAsia"/>
                <w:color w:val="0D0D0D"/>
              </w:rPr>
              <w:t>置管总日数</w:t>
            </w:r>
            <w:r>
              <w:rPr>
                <w:color w:val="0D0D0D"/>
              </w:rPr>
              <w:t>-</w:t>
            </w:r>
            <w:r>
              <w:rPr>
                <w:rFonts w:hint="eastAsia"/>
                <w:color w:val="0D0D0D"/>
              </w:rPr>
              <w:t>尿管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40-</w:t>
            </w:r>
            <w:r>
              <w:rPr>
                <w:rFonts w:hint="eastAsia"/>
                <w:color w:val="0D0D0D"/>
              </w:rPr>
              <w:t>变量</w:t>
            </w:r>
            <w:r>
              <w:rPr>
                <w:color w:val="0D0D0D"/>
              </w:rPr>
              <w:t>-</w:t>
            </w:r>
            <w:r>
              <w:rPr>
                <w:rFonts w:hint="eastAsia"/>
                <w:color w:val="0D0D0D"/>
              </w:rPr>
              <w:t>管路</w:t>
            </w:r>
          </w:p>
        </w:tc>
        <w:tc>
          <w:tcPr>
            <w:tcW w:w="5307" w:type="dxa"/>
            <w:shd w:val="clear" w:color="auto" w:fill="auto"/>
            <w:vAlign w:val="center"/>
          </w:tcPr>
          <w:p>
            <w:pPr>
              <w:rPr>
                <w:color w:val="0D0D0D"/>
              </w:rPr>
            </w:pPr>
            <w:r>
              <w:rPr>
                <w:rFonts w:hint="eastAsia"/>
                <w:color w:val="0D0D0D"/>
              </w:rPr>
              <w:t>置管总日数</w:t>
            </w:r>
            <w:r>
              <w:rPr>
                <w:color w:val="0D0D0D"/>
              </w:rPr>
              <w:t>-</w:t>
            </w:r>
            <w:r>
              <w:rPr>
                <w:rFonts w:hint="eastAsia"/>
                <w:color w:val="0D0D0D"/>
              </w:rPr>
              <w:t>胃管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40-</w:t>
            </w:r>
            <w:r>
              <w:rPr>
                <w:rFonts w:hint="eastAsia"/>
                <w:color w:val="0D0D0D"/>
              </w:rPr>
              <w:t>变量</w:t>
            </w:r>
            <w:r>
              <w:rPr>
                <w:color w:val="0D0D0D"/>
              </w:rPr>
              <w:t>-</w:t>
            </w:r>
            <w:r>
              <w:rPr>
                <w:rFonts w:hint="eastAsia"/>
                <w:color w:val="0D0D0D"/>
              </w:rPr>
              <w:t>管路</w:t>
            </w:r>
          </w:p>
        </w:tc>
        <w:tc>
          <w:tcPr>
            <w:tcW w:w="5307" w:type="dxa"/>
            <w:shd w:val="clear" w:color="auto" w:fill="auto"/>
            <w:vAlign w:val="center"/>
          </w:tcPr>
          <w:p>
            <w:pPr>
              <w:rPr>
                <w:color w:val="0D0D0D"/>
              </w:rPr>
            </w:pPr>
            <w:r>
              <w:rPr>
                <w:rFonts w:hint="eastAsia"/>
                <w:color w:val="0D0D0D"/>
              </w:rPr>
              <w:t>置管总日数</w:t>
            </w:r>
            <w:r>
              <w:rPr>
                <w:color w:val="0D0D0D"/>
              </w:rPr>
              <w:t>-PICC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40-</w:t>
            </w:r>
            <w:r>
              <w:rPr>
                <w:rFonts w:hint="eastAsia"/>
                <w:color w:val="0D0D0D"/>
              </w:rPr>
              <w:t>变量</w:t>
            </w:r>
            <w:r>
              <w:rPr>
                <w:color w:val="0D0D0D"/>
              </w:rPr>
              <w:t>-</w:t>
            </w:r>
            <w:r>
              <w:rPr>
                <w:rFonts w:hint="eastAsia"/>
                <w:color w:val="0D0D0D"/>
              </w:rPr>
              <w:t>管路</w:t>
            </w:r>
          </w:p>
        </w:tc>
        <w:tc>
          <w:tcPr>
            <w:tcW w:w="5307" w:type="dxa"/>
            <w:shd w:val="clear" w:color="auto" w:fill="auto"/>
            <w:vAlign w:val="center"/>
          </w:tcPr>
          <w:p>
            <w:pPr>
              <w:rPr>
                <w:color w:val="0D0D0D"/>
              </w:rPr>
            </w:pPr>
            <w:r>
              <w:rPr>
                <w:rFonts w:hint="eastAsia"/>
                <w:color w:val="0D0D0D"/>
              </w:rPr>
              <w:t>置管总日数</w:t>
            </w:r>
            <w:r>
              <w:rPr>
                <w:color w:val="0D0D0D"/>
              </w:rPr>
              <w:t>-CVC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40-</w:t>
            </w:r>
            <w:r>
              <w:rPr>
                <w:rFonts w:hint="eastAsia"/>
                <w:color w:val="0D0D0D"/>
              </w:rPr>
              <w:t>变量</w:t>
            </w:r>
            <w:r>
              <w:rPr>
                <w:color w:val="0D0D0D"/>
              </w:rPr>
              <w:t>-</w:t>
            </w:r>
            <w:r>
              <w:rPr>
                <w:rFonts w:hint="eastAsia"/>
                <w:color w:val="0D0D0D"/>
              </w:rPr>
              <w:t>管路</w:t>
            </w:r>
          </w:p>
        </w:tc>
        <w:tc>
          <w:tcPr>
            <w:tcW w:w="5307" w:type="dxa"/>
            <w:shd w:val="clear" w:color="auto" w:fill="auto"/>
            <w:vAlign w:val="center"/>
          </w:tcPr>
          <w:p>
            <w:pPr>
              <w:rPr>
                <w:color w:val="0D0D0D"/>
              </w:rPr>
            </w:pPr>
            <w:r>
              <w:rPr>
                <w:rFonts w:hint="eastAsia"/>
                <w:color w:val="0D0D0D"/>
              </w:rPr>
              <w:t>置管总日数</w:t>
            </w:r>
            <w:r>
              <w:rPr>
                <w:color w:val="0D0D0D"/>
              </w:rPr>
              <w:t>-</w:t>
            </w:r>
            <w:r>
              <w:rPr>
                <w:rFonts w:hint="eastAsia"/>
                <w:color w:val="0D0D0D"/>
              </w:rPr>
              <w:t>气管（呼吸机）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90-</w:t>
            </w:r>
            <w:r>
              <w:rPr>
                <w:rFonts w:hint="eastAsia"/>
                <w:color w:val="0D0D0D"/>
              </w:rPr>
              <w:t>变量</w:t>
            </w:r>
            <w:r>
              <w:rPr>
                <w:color w:val="0D0D0D"/>
              </w:rPr>
              <w:t>-</w:t>
            </w:r>
            <w:r>
              <w:rPr>
                <w:rFonts w:hint="eastAsia"/>
                <w:color w:val="0D0D0D"/>
              </w:rPr>
              <w:t>感染</w:t>
            </w:r>
          </w:p>
        </w:tc>
        <w:tc>
          <w:tcPr>
            <w:tcW w:w="5307" w:type="dxa"/>
            <w:shd w:val="clear" w:color="auto" w:fill="auto"/>
            <w:vAlign w:val="center"/>
          </w:tcPr>
          <w:p>
            <w:pPr>
              <w:rPr>
                <w:color w:val="0D0D0D"/>
              </w:rPr>
            </w:pPr>
            <w:r>
              <w:rPr>
                <w:color w:val="0D0D0D"/>
              </w:rPr>
              <w:t>CAUTI(</w:t>
            </w:r>
            <w:r>
              <w:rPr>
                <w:rFonts w:hint="eastAsia"/>
                <w:color w:val="0D0D0D"/>
              </w:rPr>
              <w:t>导尿管相关感染</w:t>
            </w:r>
            <w:r>
              <w:rPr>
                <w:color w:val="0D0D0D"/>
              </w:rPr>
              <w:t>)</w:t>
            </w:r>
            <w:r>
              <w:rPr>
                <w:rFonts w:hint="eastAsia"/>
                <w:color w:val="0D0D0D"/>
              </w:rPr>
              <w:t>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90-</w:t>
            </w:r>
            <w:r>
              <w:rPr>
                <w:rFonts w:hint="eastAsia"/>
                <w:color w:val="0D0D0D"/>
              </w:rPr>
              <w:t>变量</w:t>
            </w:r>
            <w:r>
              <w:rPr>
                <w:color w:val="0D0D0D"/>
              </w:rPr>
              <w:t>-</w:t>
            </w:r>
            <w:r>
              <w:rPr>
                <w:rFonts w:hint="eastAsia"/>
                <w:color w:val="0D0D0D"/>
              </w:rPr>
              <w:t>感染</w:t>
            </w:r>
          </w:p>
        </w:tc>
        <w:tc>
          <w:tcPr>
            <w:tcW w:w="5307" w:type="dxa"/>
            <w:shd w:val="clear" w:color="auto" w:fill="auto"/>
            <w:vAlign w:val="center"/>
          </w:tcPr>
          <w:p>
            <w:pPr>
              <w:rPr>
                <w:color w:val="0D0D0D"/>
              </w:rPr>
            </w:pPr>
            <w:r>
              <w:rPr>
                <w:color w:val="0D0D0D"/>
              </w:rPr>
              <w:t>PICC</w:t>
            </w:r>
            <w:r>
              <w:rPr>
                <w:rFonts w:hint="eastAsia"/>
                <w:color w:val="0D0D0D"/>
              </w:rPr>
              <w:t>相关血流感染发生例次数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90-</w:t>
            </w:r>
            <w:r>
              <w:rPr>
                <w:rFonts w:hint="eastAsia"/>
                <w:color w:val="0D0D0D"/>
              </w:rPr>
              <w:t>变量</w:t>
            </w:r>
            <w:r>
              <w:rPr>
                <w:color w:val="0D0D0D"/>
              </w:rPr>
              <w:t>-</w:t>
            </w:r>
            <w:r>
              <w:rPr>
                <w:rFonts w:hint="eastAsia"/>
                <w:color w:val="0D0D0D"/>
              </w:rPr>
              <w:t>感染</w:t>
            </w:r>
          </w:p>
        </w:tc>
        <w:tc>
          <w:tcPr>
            <w:tcW w:w="5307" w:type="dxa"/>
            <w:shd w:val="clear" w:color="auto" w:fill="auto"/>
            <w:vAlign w:val="center"/>
          </w:tcPr>
          <w:p>
            <w:pPr>
              <w:rPr>
                <w:color w:val="0D0D0D"/>
              </w:rPr>
            </w:pPr>
            <w:r>
              <w:rPr>
                <w:color w:val="0D0D0D"/>
              </w:rPr>
              <w:t>CVC</w:t>
            </w:r>
            <w:r>
              <w:rPr>
                <w:rFonts w:hint="eastAsia"/>
                <w:color w:val="0D0D0D"/>
              </w:rPr>
              <w:t>相关血流感染发生例次数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rPr>
                <w:color w:val="0D0D0D"/>
              </w:rPr>
            </w:pPr>
          </w:p>
        </w:tc>
        <w:tc>
          <w:tcPr>
            <w:tcW w:w="1842" w:type="dxa"/>
            <w:shd w:val="clear" w:color="auto" w:fill="auto"/>
            <w:vAlign w:val="center"/>
          </w:tcPr>
          <w:p>
            <w:pPr>
              <w:rPr>
                <w:color w:val="0D0D0D"/>
              </w:rPr>
            </w:pPr>
            <w:r>
              <w:rPr>
                <w:color w:val="0D0D0D"/>
              </w:rPr>
              <w:t>90-</w:t>
            </w:r>
            <w:r>
              <w:rPr>
                <w:rFonts w:hint="eastAsia"/>
                <w:color w:val="0D0D0D"/>
              </w:rPr>
              <w:t>变量</w:t>
            </w:r>
            <w:r>
              <w:rPr>
                <w:color w:val="0D0D0D"/>
              </w:rPr>
              <w:t>-</w:t>
            </w:r>
            <w:r>
              <w:rPr>
                <w:rFonts w:hint="eastAsia"/>
                <w:color w:val="0D0D0D"/>
              </w:rPr>
              <w:t>感染</w:t>
            </w:r>
          </w:p>
        </w:tc>
        <w:tc>
          <w:tcPr>
            <w:tcW w:w="5307" w:type="dxa"/>
            <w:shd w:val="clear" w:color="auto" w:fill="auto"/>
            <w:vAlign w:val="center"/>
          </w:tcPr>
          <w:p>
            <w:pPr>
              <w:rPr>
                <w:color w:val="0D0D0D"/>
              </w:rPr>
            </w:pPr>
            <w:r>
              <w:rPr>
                <w:color w:val="0D0D0D"/>
              </w:rPr>
              <w:t>VAP</w:t>
            </w:r>
            <w:r>
              <w:rPr>
                <w:rFonts w:hint="eastAsia"/>
                <w:color w:val="0D0D0D"/>
              </w:rPr>
              <w:t>发生例次数</w:t>
            </w:r>
          </w:p>
        </w:tc>
      </w:tr>
    </w:tbl>
    <w:p>
      <w:pPr>
        <w:spacing w:line="360" w:lineRule="auto"/>
        <w:ind w:firstLine="482" w:firstLineChars="200"/>
        <w:jc w:val="left"/>
        <w:rPr>
          <w:rFonts w:ascii="Times New Roman" w:hAnsi="Times New Roman" w:eastAsia="宋体"/>
          <w:b/>
          <w:bCs/>
          <w:sz w:val="24"/>
          <w:szCs w:val="24"/>
        </w:rPr>
      </w:pPr>
      <w:r>
        <w:rPr>
          <w:rFonts w:hint="eastAsia" w:ascii="Times New Roman" w:hAnsi="Times New Roman" w:eastAsia="宋体"/>
          <w:b/>
          <w:bCs/>
          <w:sz w:val="24"/>
          <w:szCs w:val="24"/>
        </w:rPr>
        <w:t>三、项目工期要求</w:t>
      </w:r>
    </w:p>
    <w:p>
      <w:pPr>
        <w:spacing w:line="360" w:lineRule="auto"/>
        <w:ind w:firstLine="482" w:firstLineChars="200"/>
        <w:jc w:val="left"/>
        <w:rPr>
          <w:rFonts w:ascii="Times New Roman" w:hAnsi="Times New Roman" w:eastAsia="宋体" w:cs="Times New Roman"/>
          <w:b/>
          <w:sz w:val="24"/>
          <w:szCs w:val="20"/>
          <w:u w:color="000000"/>
        </w:rPr>
      </w:pPr>
      <w:r>
        <w:rPr>
          <w:rFonts w:hint="eastAsia" w:ascii="Times New Roman" w:hAnsi="Times New Roman" w:eastAsia="宋体" w:cs="Times New Roman"/>
          <w:b/>
          <w:sz w:val="24"/>
          <w:szCs w:val="20"/>
          <w:u w:color="000000"/>
        </w:rPr>
        <w:t>本项目要求合同签订后6个月内完成系统上线运行。</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四、项目实施及售后服务</w:t>
      </w:r>
    </w:p>
    <w:p>
      <w:pPr>
        <w:spacing w:line="360" w:lineRule="auto"/>
        <w:ind w:firstLine="482" w:firstLineChars="200"/>
        <w:rPr>
          <w:rFonts w:ascii="Times New Roman" w:hAnsi="Times New Roman" w:eastAsia="宋体"/>
          <w:b/>
          <w:sz w:val="24"/>
          <w:szCs w:val="24"/>
        </w:rPr>
      </w:pPr>
      <w:r>
        <w:rPr>
          <w:rFonts w:hint="eastAsia" w:ascii="Times New Roman" w:hAnsi="Times New Roman" w:eastAsia="宋体"/>
          <w:b/>
          <w:sz w:val="24"/>
          <w:szCs w:val="24"/>
        </w:rPr>
        <w:t>（一）项目实施要求</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1、投标人在本地具有优质的售后服务团队和软件开发中心。</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2、投标人应本着认真负责态度，组织技术队伍，认真做好项目的实施工作。在签订合同前，提出具体实施、服务、维护以及今后技术支持的措施计划和承诺。</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3、投标人必须提供项目实施计划，经用户方同意后，严格执行。如果遇到问题，由项目组提出项目变更说明，经医院和系统提供商确定后，修改计划。</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4、投标人应负责在项目验收时将系统的全部有关技术文件、资料、及安装、测试、验收报告等文档汇集成册交付用户方。</w:t>
      </w:r>
    </w:p>
    <w:p>
      <w:pPr>
        <w:spacing w:line="360" w:lineRule="auto"/>
        <w:ind w:firstLine="482" w:firstLineChars="200"/>
        <w:rPr>
          <w:rFonts w:ascii="Times New Roman" w:hAnsi="Times New Roman" w:eastAsia="宋体"/>
          <w:b/>
          <w:sz w:val="24"/>
          <w:szCs w:val="24"/>
        </w:rPr>
      </w:pPr>
      <w:r>
        <w:rPr>
          <w:rFonts w:hint="eastAsia" w:ascii="Times New Roman" w:hAnsi="Times New Roman" w:eastAsia="宋体"/>
          <w:b/>
          <w:sz w:val="24"/>
          <w:szCs w:val="24"/>
        </w:rPr>
        <w:t>（二）售后服务要求</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1、本项目验收合格后，投标人必须提供软件一年的免费功能增强性维护和软件升级、免费技术维护服务，其中包括系统维护、跟踪检测，保证投标人所投软件的正常运行。</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投标人具有固定的经营、开发维护人员，具备完整的技术服务团队且能提供良好的技术支持。提供一年7*24小时免费服务，医院工作日白天（8：00-17：00）故障响应时间不超过1小时，非工作日及夜间故障响应时间为不超过2小时。3小时到达现场，8小时内修复。免费期内对系统优化和常规安全检查。</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3、定时维护服务：每月1次。</w:t>
      </w:r>
    </w:p>
    <w:p>
      <w:pPr>
        <w:spacing w:line="360" w:lineRule="auto"/>
        <w:ind w:firstLine="482" w:firstLineChars="200"/>
        <w:rPr>
          <w:rFonts w:ascii="Times New Roman" w:hAnsi="Times New Roman" w:eastAsia="宋体" w:cstheme="majorBidi"/>
          <w:b/>
          <w:bCs/>
          <w:sz w:val="24"/>
          <w:szCs w:val="24"/>
          <w:shd w:val="clear" w:color="auto" w:fill="FFFFFF"/>
        </w:rPr>
      </w:pPr>
      <w:r>
        <w:rPr>
          <w:rFonts w:hint="eastAsia" w:ascii="Times New Roman" w:hAnsi="Times New Roman" w:eastAsia="宋体" w:cstheme="majorBidi"/>
          <w:b/>
          <w:bCs/>
          <w:sz w:val="24"/>
          <w:szCs w:val="24"/>
          <w:shd w:val="clear" w:color="auto" w:fill="FFFFFF"/>
        </w:rPr>
        <w:t>五、培训要求</w:t>
      </w:r>
    </w:p>
    <w:p>
      <w:pPr>
        <w:spacing w:line="360" w:lineRule="auto"/>
        <w:ind w:firstLine="480" w:firstLineChars="200"/>
        <w:rPr>
          <w:rFonts w:ascii="Times New Roman" w:hAnsi="Times New Roman" w:eastAsia="宋体" w:cstheme="majorBidi"/>
          <w:sz w:val="24"/>
          <w:szCs w:val="24"/>
          <w:shd w:val="clear" w:color="auto" w:fill="FFFFFF"/>
        </w:rPr>
      </w:pPr>
      <w:r>
        <w:rPr>
          <w:rFonts w:hint="eastAsia" w:ascii="Times New Roman" w:hAnsi="Times New Roman" w:eastAsia="宋体" w:cstheme="majorBidi"/>
          <w:sz w:val="24"/>
          <w:szCs w:val="24"/>
          <w:shd w:val="clear" w:color="auto" w:fill="FFFFFF"/>
        </w:rPr>
        <w:t>投标人须在响应文件中提供详细的培训计划和方案，包括培训人员、培训内容、培训时间等，对使用人员、管理人员、维护人员等分别提供相应培训，保证用户能够进行软件的日常管理、操作、维护以及故障分析处理等工作。</w:t>
      </w:r>
    </w:p>
    <w:p>
      <w:pPr>
        <w:spacing w:line="360" w:lineRule="auto"/>
        <w:ind w:firstLine="480" w:firstLineChars="200"/>
        <w:rPr>
          <w:rFonts w:ascii="Times New Roman" w:hAnsi="Times New Roman" w:eastAsia="宋体" w:cstheme="majorBidi"/>
          <w:sz w:val="24"/>
          <w:szCs w:val="24"/>
          <w:shd w:val="clear" w:color="auto" w:fill="FFFFFF"/>
        </w:rPr>
      </w:pPr>
      <w:r>
        <w:rPr>
          <w:rFonts w:hint="eastAsia" w:ascii="Times New Roman" w:hAnsi="Times New Roman" w:eastAsia="宋体" w:cstheme="majorBidi"/>
          <w:sz w:val="24"/>
          <w:szCs w:val="24"/>
          <w:shd w:val="clear" w:color="auto" w:fill="FFFFFF"/>
        </w:rPr>
        <w:t>1、培训对象：包括使用人员、管理人员、维保人员及有关的其他人员；</w:t>
      </w:r>
    </w:p>
    <w:p>
      <w:pPr>
        <w:spacing w:line="360" w:lineRule="auto"/>
        <w:ind w:firstLine="480" w:firstLineChars="200"/>
        <w:rPr>
          <w:rFonts w:ascii="Times New Roman" w:hAnsi="Times New Roman" w:eastAsia="宋体" w:cstheme="majorBidi"/>
          <w:sz w:val="24"/>
          <w:szCs w:val="24"/>
          <w:shd w:val="clear" w:color="auto" w:fill="FFFFFF"/>
        </w:rPr>
      </w:pPr>
      <w:r>
        <w:rPr>
          <w:rFonts w:hint="eastAsia" w:ascii="Times New Roman" w:hAnsi="Times New Roman" w:eastAsia="宋体" w:cstheme="majorBidi"/>
          <w:sz w:val="24"/>
          <w:szCs w:val="24"/>
          <w:shd w:val="clear" w:color="auto" w:fill="FFFFFF"/>
        </w:rPr>
        <w:t>2、培训内容：对该系统的架构理解、权限角色配置方法、系统软件维护方法、使用方法等，以及中标单位认为需要培训的内容。</w:t>
      </w:r>
    </w:p>
    <w:p>
      <w:pPr>
        <w:spacing w:line="360" w:lineRule="auto"/>
        <w:ind w:firstLine="480" w:firstLineChars="200"/>
        <w:rPr>
          <w:rFonts w:ascii="Times New Roman" w:hAnsi="Times New Roman" w:eastAsia="宋体" w:cstheme="majorBidi"/>
          <w:sz w:val="24"/>
          <w:szCs w:val="24"/>
          <w:shd w:val="clear" w:color="auto" w:fill="FFFFFF"/>
        </w:rPr>
      </w:pPr>
      <w:r>
        <w:rPr>
          <w:rFonts w:hint="eastAsia" w:ascii="Times New Roman" w:hAnsi="Times New Roman" w:eastAsia="宋体" w:cstheme="majorBidi"/>
          <w:sz w:val="24"/>
          <w:szCs w:val="24"/>
          <w:shd w:val="clear" w:color="auto" w:fill="FFFFFF"/>
        </w:rPr>
        <w:t>3、培训教材：针对系统管理人员、使用人员、维保人员分别提供培训教材。</w:t>
      </w:r>
    </w:p>
    <w:p>
      <w:pPr>
        <w:spacing w:line="360" w:lineRule="auto"/>
        <w:ind w:firstLine="480" w:firstLineChars="200"/>
        <w:rPr>
          <w:rFonts w:ascii="Times New Roman" w:hAnsi="Times New Roman" w:eastAsia="宋体" w:cstheme="majorBidi"/>
          <w:sz w:val="24"/>
          <w:szCs w:val="24"/>
          <w:shd w:val="clear" w:color="auto" w:fill="FFFFFF"/>
        </w:rPr>
      </w:pPr>
      <w:r>
        <w:rPr>
          <w:rFonts w:hint="eastAsia" w:ascii="Times New Roman" w:hAnsi="Times New Roman" w:eastAsia="宋体" w:cstheme="majorBidi"/>
          <w:sz w:val="24"/>
          <w:szCs w:val="24"/>
          <w:shd w:val="clear" w:color="auto" w:fill="FFFFFF"/>
        </w:rPr>
        <w:t>4、培训日期及方式：和采购人一起商定。</w:t>
      </w:r>
    </w:p>
    <w:p>
      <w:pPr>
        <w:spacing w:line="360" w:lineRule="auto"/>
        <w:ind w:firstLine="480" w:firstLineChars="200"/>
        <w:rPr>
          <w:rFonts w:ascii="Times New Roman" w:hAnsi="Times New Roman" w:eastAsia="宋体" w:cstheme="majorBidi"/>
          <w:sz w:val="24"/>
          <w:szCs w:val="24"/>
          <w:shd w:val="clear" w:color="auto" w:fill="FFFFFF"/>
        </w:rPr>
      </w:pPr>
      <w:r>
        <w:rPr>
          <w:rFonts w:hint="eastAsia" w:ascii="Times New Roman" w:hAnsi="Times New Roman" w:eastAsia="宋体" w:cstheme="majorBidi"/>
          <w:sz w:val="24"/>
          <w:szCs w:val="24"/>
          <w:shd w:val="clear" w:color="auto" w:fill="FFFFFF"/>
        </w:rPr>
        <w:t>5、投标人应将所有培训相关费用计入投标总价。</w:t>
      </w:r>
    </w:p>
    <w:p>
      <w:pPr>
        <w:widowControl/>
        <w:spacing w:line="440" w:lineRule="exact"/>
        <w:ind w:firstLine="480"/>
        <w:jc w:val="left"/>
        <w:rPr>
          <w:rFonts w:ascii="Times New Roman" w:hAnsi="Times New Roman" w:eastAsia="宋体" w:cs="Times New Roman"/>
          <w:b/>
          <w:kern w:val="0"/>
          <w:sz w:val="24"/>
          <w:szCs w:val="24"/>
        </w:rPr>
      </w:pPr>
      <w:r>
        <w:rPr>
          <w:rFonts w:hint="eastAsia" w:ascii="Times New Roman" w:hAnsi="Times New Roman" w:eastAsia="宋体" w:cs="Times New Roman"/>
          <w:b/>
          <w:kern w:val="0"/>
          <w:sz w:val="24"/>
          <w:szCs w:val="24"/>
        </w:rPr>
        <w:t>六、其他要求：</w:t>
      </w:r>
    </w:p>
    <w:p>
      <w:pPr>
        <w:spacing w:line="360" w:lineRule="auto"/>
        <w:ind w:firstLine="480" w:firstLineChars="200"/>
        <w:rPr>
          <w:rFonts w:ascii="Times New Roman" w:hAnsi="Times New Roman" w:eastAsia="宋体" w:cstheme="majorBidi"/>
          <w:sz w:val="24"/>
          <w:szCs w:val="24"/>
          <w:shd w:val="clear" w:color="auto" w:fill="FFFFFF"/>
        </w:rPr>
      </w:pPr>
      <w:r>
        <w:rPr>
          <w:rFonts w:hint="eastAsia" w:ascii="Times New Roman" w:hAnsi="Times New Roman" w:eastAsia="宋体" w:cstheme="majorBidi"/>
          <w:sz w:val="24"/>
          <w:szCs w:val="24"/>
          <w:shd w:val="clear" w:color="auto" w:fill="FFFFFF"/>
        </w:rPr>
        <w:t>1、对知识产权的要求：投标人承诺全部承担今后凡因本项目相关部件知识产权方面可能产生的任何问题、纠纷乃至赔偿等。项目中涉及的已注册应用软件产品，其知识产权归原厂商所有。</w:t>
      </w:r>
    </w:p>
    <w:p>
      <w:pPr>
        <w:spacing w:line="360" w:lineRule="auto"/>
        <w:ind w:firstLine="480" w:firstLineChars="200"/>
        <w:rPr>
          <w:rFonts w:ascii="Times New Roman" w:hAnsi="Times New Roman" w:eastAsia="宋体" w:cstheme="majorBidi"/>
          <w:sz w:val="24"/>
          <w:szCs w:val="24"/>
          <w:shd w:val="clear" w:color="auto" w:fill="FFFFFF"/>
        </w:rPr>
      </w:pPr>
      <w:r>
        <w:rPr>
          <w:rFonts w:hint="eastAsia" w:ascii="Times New Roman" w:hAnsi="Times New Roman" w:eastAsia="宋体" w:cstheme="majorBidi"/>
          <w:sz w:val="24"/>
          <w:szCs w:val="24"/>
          <w:shd w:val="clear" w:color="auto" w:fill="FFFFFF"/>
        </w:rPr>
        <w:t>2、对系统的保密范围要求：投标人承诺在实施和维护过程中，任何涉及医院的信息，包括但不限于医院数据、医院特有的功能需求等，未得到医院同意的情况下不得对任何第三方展示、举例乃至销售，否则投标人将承担由此产生的一切后果。</w:t>
      </w:r>
    </w:p>
    <w:p>
      <w:pPr>
        <w:widowControl/>
        <w:spacing w:line="440" w:lineRule="exact"/>
        <w:ind w:firstLine="480"/>
        <w:jc w:val="left"/>
        <w:rPr>
          <w:rFonts w:ascii="Times New Roman" w:hAnsi="Times New Roman" w:eastAsia="宋体" w:cs="Times New Roman"/>
          <w:b/>
          <w:kern w:val="0"/>
          <w:sz w:val="24"/>
          <w:szCs w:val="24"/>
          <w:lang w:val="en-GB"/>
        </w:rPr>
      </w:pPr>
      <w:r>
        <w:rPr>
          <w:rFonts w:hint="eastAsia" w:ascii="Times New Roman" w:hAnsi="Times New Roman" w:eastAsia="宋体" w:cs="Times New Roman"/>
          <w:b/>
          <w:kern w:val="0"/>
          <w:sz w:val="24"/>
          <w:szCs w:val="24"/>
        </w:rPr>
        <w:t>七</w:t>
      </w:r>
      <w:r>
        <w:rPr>
          <w:rFonts w:hint="eastAsia" w:ascii="Times New Roman" w:hAnsi="Times New Roman" w:eastAsia="宋体" w:cs="Times New Roman"/>
          <w:b/>
          <w:kern w:val="0"/>
          <w:sz w:val="24"/>
          <w:szCs w:val="24"/>
          <w:lang w:val="en-GB"/>
        </w:rPr>
        <w:t>、付款方式</w:t>
      </w:r>
    </w:p>
    <w:p>
      <w:pPr>
        <w:spacing w:line="440" w:lineRule="exact"/>
        <w:ind w:firstLine="472" w:firstLineChars="196"/>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1、合同签订后，10个工作日内支付合同总价的30%首付款；</w:t>
      </w:r>
    </w:p>
    <w:p>
      <w:pPr>
        <w:spacing w:line="440" w:lineRule="exact"/>
        <w:ind w:firstLine="472" w:firstLineChars="196"/>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2、验收合格后，10个工作日内支付合同总价的60%；</w:t>
      </w:r>
    </w:p>
    <w:p>
      <w:pPr>
        <w:spacing w:line="440" w:lineRule="exact"/>
        <w:ind w:firstLine="472" w:firstLineChars="196"/>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3、验收合格满一年后支付合同总价的10%。</w:t>
      </w:r>
    </w:p>
    <w:p>
      <w:pPr>
        <w:spacing w:line="440" w:lineRule="exact"/>
        <w:ind w:firstLine="472" w:firstLineChars="196"/>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以上付款均不计利息，中标人应出具由税务部门认可的正式发票。</w:t>
      </w:r>
    </w:p>
    <w:p>
      <w:pPr>
        <w:spacing w:line="360" w:lineRule="auto"/>
        <w:ind w:firstLine="707" w:firstLineChars="200"/>
        <w:jc w:val="left"/>
        <w:rPr>
          <w:rFonts w:ascii="Times New Roman" w:hAnsi="Times New Roman" w:eastAsia="宋体" w:cs="宋体"/>
          <w:bCs/>
          <w:sz w:val="24"/>
          <w:szCs w:val="24"/>
        </w:rPr>
      </w:pPr>
      <w:r>
        <w:rPr>
          <w:rFonts w:ascii="Times New Roman" w:hAnsi="Times New Roman" w:eastAsia="宋体"/>
          <w:b/>
          <w:w w:val="80"/>
          <w:sz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2" w:name="_Toc182848996"/>
      <w:bookmarkStart w:id="13" w:name="_Toc38121794"/>
      <w:bookmarkStart w:id="14" w:name="_Toc43217893"/>
      <w:bookmarkStart w:id="15" w:name="_Toc37322565"/>
      <w:bookmarkStart w:id="16" w:name="_Toc85627670"/>
      <w:r>
        <w:rPr>
          <w:rFonts w:hint="eastAsia" w:ascii="Times New Roman" w:hAnsi="Times New Roman" w:eastAsia="宋体" w:cs="宋体"/>
          <w:w w:val="80"/>
          <w:sz w:val="48"/>
          <w:szCs w:val="44"/>
        </w:rPr>
        <w:t xml:space="preserve"> 评审方法和程序</w:t>
      </w:r>
      <w:bookmarkEnd w:id="12"/>
      <w:bookmarkEnd w:id="13"/>
      <w:bookmarkEnd w:id="14"/>
      <w:bookmarkEnd w:id="15"/>
      <w:bookmarkEnd w:id="16"/>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7" w:name="_Toc363573857"/>
      <w:bookmarkEnd w:id="17"/>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1、本次竞争性磋商依据《中华人民共和国政府采购法》、《政府采购竞争性磋商采购方式管理暂行办法》及有关法规成立磋商小组。磋商小组由3人以上单数组成。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1、磋商小组依据《中华人民共和国政府采购法》、《政府采购竞争性磋商采购方式管理暂行办法》以及有关政府采购的相关法规，遵循“公开、公平、公正、择优、信用”的原则进行磋商评审。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rPr>
        <w:t>70%（权重）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rPr>
        <w:t>30%（权重）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（一）技术分：（70分）</w:t>
      </w:r>
    </w:p>
    <w:tbl>
      <w:tblPr>
        <w:tblStyle w:val="18"/>
        <w:tblW w:w="9854" w:type="dxa"/>
        <w:tblInd w:w="0" w:type="dxa"/>
        <w:tblLayout w:type="fixed"/>
        <w:tblCellMar>
          <w:top w:w="0" w:type="dxa"/>
          <w:left w:w="108" w:type="dxa"/>
          <w:bottom w:w="0" w:type="dxa"/>
          <w:right w:w="108" w:type="dxa"/>
        </w:tblCellMar>
      </w:tblPr>
      <w:tblGrid>
        <w:gridCol w:w="656"/>
        <w:gridCol w:w="1579"/>
        <w:gridCol w:w="6945"/>
        <w:gridCol w:w="674"/>
      </w:tblGrid>
      <w:tr>
        <w:tblPrEx>
          <w:tblCellMar>
            <w:top w:w="0" w:type="dxa"/>
            <w:left w:w="108" w:type="dxa"/>
            <w:bottom w:w="0" w:type="dxa"/>
            <w:right w:w="108" w:type="dxa"/>
          </w:tblCellMar>
        </w:tblPrEx>
        <w:trPr>
          <w:trHeight w:val="644"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序号</w:t>
            </w:r>
          </w:p>
        </w:tc>
        <w:tc>
          <w:tcPr>
            <w:tcW w:w="1579"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评审内容</w:t>
            </w:r>
          </w:p>
        </w:tc>
        <w:tc>
          <w:tcPr>
            <w:tcW w:w="6945"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szCs w:val="21"/>
              </w:rPr>
              <w:t>评审细则</w:t>
            </w:r>
          </w:p>
        </w:tc>
        <w:tc>
          <w:tcPr>
            <w:tcW w:w="67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Cs w:val="21"/>
              </w:rPr>
              <w:t>分值</w:t>
            </w:r>
          </w:p>
        </w:tc>
      </w:tr>
      <w:tr>
        <w:tblPrEx>
          <w:tblCellMar>
            <w:top w:w="0" w:type="dxa"/>
            <w:left w:w="108" w:type="dxa"/>
            <w:bottom w:w="0" w:type="dxa"/>
            <w:right w:w="108" w:type="dxa"/>
          </w:tblCellMar>
        </w:tblPrEx>
        <w:trPr>
          <w:trHeight w:val="644"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1</w:t>
            </w:r>
          </w:p>
        </w:tc>
        <w:tc>
          <w:tcPr>
            <w:tcW w:w="1579"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szCs w:val="21"/>
              </w:rPr>
            </w:pPr>
            <w:r>
              <w:rPr>
                <w:rFonts w:hint="eastAsia" w:ascii="宋体" w:hAnsi="宋体"/>
                <w:szCs w:val="21"/>
                <w:lang w:val="zh-CN"/>
              </w:rPr>
              <w:t>技术方案</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szCs w:val="21"/>
              </w:rPr>
            </w:pPr>
            <w:r>
              <w:rPr>
                <w:rFonts w:hint="eastAsia" w:ascii="Times New Roman" w:hAnsi="Times New Roman" w:eastAsia="宋体" w:cs="仿宋"/>
                <w:szCs w:val="21"/>
              </w:rPr>
              <w:t>根据投标人对此项目软件要求的理解程度综合评定，考察其是否针对本项招标要求进行了实质性响应，并就其系统整体技术方案的可操作性、规范性、可实现性进行评价。</w:t>
            </w:r>
            <w:r>
              <w:rPr>
                <w:rFonts w:ascii="宋体" w:hAnsi="宋体"/>
                <w:szCs w:val="21"/>
              </w:rPr>
              <w:t>评委根据方案按以下等级酌情评分，明确阐述系统离线技术</w:t>
            </w:r>
            <w:r>
              <w:rPr>
                <w:rFonts w:hint="eastAsia" w:ascii="宋体" w:hAnsi="宋体"/>
                <w:szCs w:val="21"/>
              </w:rPr>
              <w:t>得</w:t>
            </w:r>
            <w:r>
              <w:rPr>
                <w:rFonts w:ascii="宋体" w:hAnsi="宋体"/>
                <w:szCs w:val="21"/>
              </w:rPr>
              <w:t>2</w:t>
            </w:r>
            <w:r>
              <w:rPr>
                <w:rFonts w:hint="eastAsia" w:ascii="宋体" w:hAnsi="宋体"/>
                <w:szCs w:val="21"/>
              </w:rPr>
              <w:t>分、</w:t>
            </w:r>
            <w:r>
              <w:rPr>
                <w:rFonts w:ascii="宋体" w:hAnsi="宋体"/>
                <w:szCs w:val="21"/>
              </w:rPr>
              <w:t>明确阐述</w:t>
            </w:r>
            <w:r>
              <w:rPr>
                <w:rFonts w:hint="eastAsia" w:ascii="宋体" w:hAnsi="宋体"/>
                <w:szCs w:val="21"/>
              </w:rPr>
              <w:t>故障应急解决方案得2分、</w:t>
            </w:r>
            <w:r>
              <w:rPr>
                <w:rFonts w:hint="eastAsia" w:ascii="宋体" w:hAnsi="宋体"/>
                <w:bCs/>
                <w:szCs w:val="21"/>
              </w:rPr>
              <w:t>能提供与医院移动护理系统数据无缝对接证明的得</w:t>
            </w:r>
            <w:r>
              <w:rPr>
                <w:rFonts w:ascii="宋体" w:hAnsi="宋体"/>
                <w:bCs/>
                <w:szCs w:val="21"/>
              </w:rPr>
              <w:t>4</w:t>
            </w:r>
            <w:r>
              <w:rPr>
                <w:rFonts w:hint="eastAsia" w:ascii="宋体" w:hAnsi="宋体"/>
                <w:bCs/>
                <w:szCs w:val="21"/>
              </w:rPr>
              <w:t>分</w:t>
            </w:r>
            <w:r>
              <w:rPr>
                <w:rFonts w:hint="eastAsia" w:ascii="宋体" w:hAnsi="宋体"/>
                <w:szCs w:val="21"/>
              </w:rPr>
              <w:t>。</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8</w:t>
            </w:r>
          </w:p>
        </w:tc>
      </w:tr>
      <w:tr>
        <w:tblPrEx>
          <w:tblCellMar>
            <w:top w:w="0" w:type="dxa"/>
            <w:left w:w="108" w:type="dxa"/>
            <w:bottom w:w="0" w:type="dxa"/>
            <w:right w:w="108" w:type="dxa"/>
          </w:tblCellMar>
        </w:tblPrEx>
        <w:trPr>
          <w:trHeight w:val="644"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2</w:t>
            </w:r>
          </w:p>
        </w:tc>
        <w:tc>
          <w:tcPr>
            <w:tcW w:w="1579"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宋体" w:hAnsi="宋体"/>
                <w:szCs w:val="21"/>
                <w:lang w:val="zh-CN"/>
              </w:rPr>
            </w:pPr>
            <w:r>
              <w:rPr>
                <w:rFonts w:hint="eastAsia" w:ascii="宋体" w:hAnsi="宋体"/>
                <w:szCs w:val="21"/>
                <w:lang w:val="zh-CN"/>
              </w:rPr>
              <w:t>技术参数</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技术要求全部满足的得15分，带“*”技术条款为重要技术指标(带*的功能必须带有程序截图，否则视为未响应招标要求进行扣分)，一项不满足扣2分，一般技术条款（非带“*”号条款）每负偏离一项扣1分，如应答时有缺项，或无有效证明材料的，视同负偏离处理。</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15</w:t>
            </w:r>
          </w:p>
        </w:tc>
      </w:tr>
      <w:tr>
        <w:tblPrEx>
          <w:tblCellMar>
            <w:top w:w="0" w:type="dxa"/>
            <w:left w:w="108" w:type="dxa"/>
            <w:bottom w:w="0" w:type="dxa"/>
            <w:right w:w="108" w:type="dxa"/>
          </w:tblCellMar>
        </w:tblPrEx>
        <w:trPr>
          <w:trHeight w:val="84" w:hRule="atLeast"/>
        </w:trPr>
        <w:tc>
          <w:tcPr>
            <w:tcW w:w="656" w:type="dxa"/>
            <w:vMerge w:val="restart"/>
            <w:tcBorders>
              <w:top w:val="single" w:color="auto" w:sz="4" w:space="0"/>
              <w:left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3</w:t>
            </w:r>
          </w:p>
        </w:tc>
        <w:tc>
          <w:tcPr>
            <w:tcW w:w="1579" w:type="dxa"/>
            <w:vMerge w:val="restart"/>
            <w:tcBorders>
              <w:top w:val="single" w:color="auto" w:sz="4" w:space="0"/>
              <w:left w:val="nil"/>
              <w:right w:val="single" w:color="auto" w:sz="4" w:space="0"/>
            </w:tcBorders>
            <w:vAlign w:val="center"/>
          </w:tcPr>
          <w:p>
            <w:pPr>
              <w:spacing w:line="360" w:lineRule="auto"/>
              <w:jc w:val="left"/>
              <w:textAlignment w:val="baseline"/>
              <w:rPr>
                <w:rFonts w:ascii="Times New Roman" w:hAnsi="Times New Roman" w:eastAsia="宋体"/>
                <w:sz w:val="20"/>
                <w:szCs w:val="21"/>
              </w:rPr>
            </w:pPr>
            <w:r>
              <w:rPr>
                <w:rFonts w:hint="eastAsia" w:ascii="Times New Roman" w:hAnsi="Times New Roman" w:eastAsia="宋体"/>
                <w:szCs w:val="21"/>
              </w:rPr>
              <w:t>企业综合实力评价（22分）</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提供高新企业证书得2分，不提供不得分</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r>
      <w:tr>
        <w:tblPrEx>
          <w:tblCellMar>
            <w:top w:w="0" w:type="dxa"/>
            <w:left w:w="108" w:type="dxa"/>
            <w:bottom w:w="0" w:type="dxa"/>
            <w:right w:w="108" w:type="dxa"/>
          </w:tblCellMar>
        </w:tblPrEx>
        <w:trPr>
          <w:trHeight w:val="84" w:hRule="atLeast"/>
        </w:trPr>
        <w:tc>
          <w:tcPr>
            <w:tcW w:w="656" w:type="dxa"/>
            <w:vMerge w:val="continue"/>
            <w:tcBorders>
              <w:left w:val="single" w:color="auto" w:sz="4" w:space="0"/>
              <w:right w:val="single" w:color="auto" w:sz="4" w:space="0"/>
            </w:tcBorders>
            <w:vAlign w:val="center"/>
          </w:tcPr>
          <w:p>
            <w:pPr>
              <w:spacing w:line="360" w:lineRule="auto"/>
              <w:textAlignment w:val="baseline"/>
            </w:pPr>
          </w:p>
        </w:tc>
        <w:tc>
          <w:tcPr>
            <w:tcW w:w="1579" w:type="dxa"/>
            <w:vMerge w:val="continue"/>
            <w:tcBorders>
              <w:left w:val="nil"/>
              <w:right w:val="single" w:color="auto" w:sz="4" w:space="0"/>
            </w:tcBorders>
            <w:vAlign w:val="center"/>
          </w:tcPr>
          <w:p>
            <w:pPr>
              <w:spacing w:line="360" w:lineRule="auto"/>
              <w:textAlignment w:val="baseline"/>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提供质量管理体系认证证书得2分，不提供不得分</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r>
      <w:tr>
        <w:tblPrEx>
          <w:tblCellMar>
            <w:top w:w="0" w:type="dxa"/>
            <w:left w:w="108" w:type="dxa"/>
            <w:bottom w:w="0" w:type="dxa"/>
            <w:right w:w="108" w:type="dxa"/>
          </w:tblCellMar>
        </w:tblPrEx>
        <w:trPr>
          <w:trHeight w:val="84" w:hRule="atLeast"/>
        </w:trPr>
        <w:tc>
          <w:tcPr>
            <w:tcW w:w="656"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1579" w:type="dxa"/>
            <w:vMerge w:val="continue"/>
            <w:tcBorders>
              <w:left w:val="nil"/>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提供软件企业证书得2分，不提供不得分</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r>
      <w:tr>
        <w:tblPrEx>
          <w:tblCellMar>
            <w:top w:w="0" w:type="dxa"/>
            <w:left w:w="108" w:type="dxa"/>
            <w:bottom w:w="0" w:type="dxa"/>
            <w:right w:w="108" w:type="dxa"/>
          </w:tblCellMar>
        </w:tblPrEx>
        <w:trPr>
          <w:trHeight w:val="84" w:hRule="atLeast"/>
        </w:trPr>
        <w:tc>
          <w:tcPr>
            <w:tcW w:w="656"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1579" w:type="dxa"/>
            <w:vMerge w:val="continue"/>
            <w:tcBorders>
              <w:left w:val="nil"/>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提供带有“移动医疗软件”字样的著作权，得2分，不提供不得分</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r>
      <w:tr>
        <w:tblPrEx>
          <w:tblCellMar>
            <w:top w:w="0" w:type="dxa"/>
            <w:left w:w="108" w:type="dxa"/>
            <w:bottom w:w="0" w:type="dxa"/>
            <w:right w:w="108" w:type="dxa"/>
          </w:tblCellMar>
        </w:tblPrEx>
        <w:trPr>
          <w:trHeight w:val="84" w:hRule="atLeast"/>
        </w:trPr>
        <w:tc>
          <w:tcPr>
            <w:tcW w:w="656"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1579" w:type="dxa"/>
            <w:vMerge w:val="continue"/>
            <w:tcBorders>
              <w:left w:val="nil"/>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提供带有“移动护理软件”字样的著作权，得2分，不提供不得分</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r>
      <w:tr>
        <w:tblPrEx>
          <w:tblCellMar>
            <w:top w:w="0" w:type="dxa"/>
            <w:left w:w="108" w:type="dxa"/>
            <w:bottom w:w="0" w:type="dxa"/>
            <w:right w:w="108" w:type="dxa"/>
          </w:tblCellMar>
        </w:tblPrEx>
        <w:trPr>
          <w:trHeight w:val="84" w:hRule="atLeast"/>
        </w:trPr>
        <w:tc>
          <w:tcPr>
            <w:tcW w:w="656"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1579" w:type="dxa"/>
            <w:vMerge w:val="continue"/>
            <w:tcBorders>
              <w:left w:val="nil"/>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提供带有“护理管理软件”字样的著作权，得2分，不提供不得分</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r>
      <w:tr>
        <w:tblPrEx>
          <w:tblCellMar>
            <w:top w:w="0" w:type="dxa"/>
            <w:left w:w="108" w:type="dxa"/>
            <w:bottom w:w="0" w:type="dxa"/>
            <w:right w:w="108" w:type="dxa"/>
          </w:tblCellMar>
        </w:tblPrEx>
        <w:trPr>
          <w:trHeight w:val="84" w:hRule="atLeast"/>
        </w:trPr>
        <w:tc>
          <w:tcPr>
            <w:tcW w:w="656"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1579" w:type="dxa"/>
            <w:vMerge w:val="continue"/>
            <w:tcBorders>
              <w:left w:val="nil"/>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提供带有“移动用血管理软件”字样的著作权，得2分，不提供不得分</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r>
      <w:tr>
        <w:tblPrEx>
          <w:tblCellMar>
            <w:top w:w="0" w:type="dxa"/>
            <w:left w:w="108" w:type="dxa"/>
            <w:bottom w:w="0" w:type="dxa"/>
            <w:right w:w="108" w:type="dxa"/>
          </w:tblCellMar>
        </w:tblPrEx>
        <w:trPr>
          <w:trHeight w:val="84" w:hRule="atLeast"/>
        </w:trPr>
        <w:tc>
          <w:tcPr>
            <w:tcW w:w="656"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1579" w:type="dxa"/>
            <w:vMerge w:val="continue"/>
            <w:tcBorders>
              <w:left w:val="nil"/>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提供带有“质量指标统计软件”字样的著作权，得2分，不提供不得分</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r>
      <w:tr>
        <w:tblPrEx>
          <w:tblCellMar>
            <w:top w:w="0" w:type="dxa"/>
            <w:left w:w="108" w:type="dxa"/>
            <w:bottom w:w="0" w:type="dxa"/>
            <w:right w:w="108" w:type="dxa"/>
          </w:tblCellMar>
        </w:tblPrEx>
        <w:trPr>
          <w:trHeight w:val="84" w:hRule="atLeast"/>
        </w:trPr>
        <w:tc>
          <w:tcPr>
            <w:tcW w:w="656"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1579" w:type="dxa"/>
            <w:vMerge w:val="continue"/>
            <w:tcBorders>
              <w:left w:val="nil"/>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提供带有“移动决策软件”字样的著作权，得2分，不提供不得分</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r>
      <w:tr>
        <w:tblPrEx>
          <w:tblCellMar>
            <w:top w:w="0" w:type="dxa"/>
            <w:left w:w="108" w:type="dxa"/>
            <w:bottom w:w="0" w:type="dxa"/>
            <w:right w:w="108" w:type="dxa"/>
          </w:tblCellMar>
        </w:tblPrEx>
        <w:trPr>
          <w:trHeight w:val="84" w:hRule="atLeast"/>
        </w:trPr>
        <w:tc>
          <w:tcPr>
            <w:tcW w:w="656"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1579" w:type="dxa"/>
            <w:vMerge w:val="continue"/>
            <w:tcBorders>
              <w:left w:val="nil"/>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提供带有“移动输液软件”字样的著作权，得2分，不提供不得分</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r>
      <w:tr>
        <w:tblPrEx>
          <w:tblCellMar>
            <w:top w:w="0" w:type="dxa"/>
            <w:left w:w="108" w:type="dxa"/>
            <w:bottom w:w="0" w:type="dxa"/>
            <w:right w:w="108" w:type="dxa"/>
          </w:tblCellMar>
        </w:tblPrEx>
        <w:trPr>
          <w:trHeight w:val="84" w:hRule="atLeast"/>
        </w:trPr>
        <w:tc>
          <w:tcPr>
            <w:tcW w:w="656" w:type="dxa"/>
            <w:vMerge w:val="continue"/>
            <w:tcBorders>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1579" w:type="dxa"/>
            <w:vMerge w:val="continue"/>
            <w:tcBorders>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提供带有“护理文书软件”字样的著作权，得2分，不提供不得分</w:t>
            </w:r>
          </w:p>
        </w:tc>
        <w:tc>
          <w:tcPr>
            <w:tcW w:w="6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r>
      <w:tr>
        <w:tblPrEx>
          <w:tblCellMar>
            <w:top w:w="0" w:type="dxa"/>
            <w:left w:w="108" w:type="dxa"/>
            <w:bottom w:w="0" w:type="dxa"/>
            <w:right w:w="108" w:type="dxa"/>
          </w:tblCellMar>
        </w:tblPrEx>
        <w:trPr>
          <w:trHeight w:val="933"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4</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Cs w:val="21"/>
              </w:rPr>
            </w:pPr>
            <w:r>
              <w:rPr>
                <w:rFonts w:hint="eastAsia" w:ascii="Times New Roman" w:hAnsi="Times New Roman" w:eastAsia="宋体"/>
                <w:szCs w:val="21"/>
              </w:rPr>
              <w:t>产品累计经验</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提供医院移动护理信息系统建设经验，每提供1份三甲医院移动护理软件合同业绩得2分。不超过10分，以提供的医院移动护理信息系统采购合同为准。合同复印件需装订在标书中，原件备查。</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10</w:t>
            </w:r>
          </w:p>
        </w:tc>
      </w:tr>
      <w:tr>
        <w:tblPrEx>
          <w:tblCellMar>
            <w:top w:w="0" w:type="dxa"/>
            <w:left w:w="108" w:type="dxa"/>
            <w:bottom w:w="0" w:type="dxa"/>
            <w:right w:w="108" w:type="dxa"/>
          </w:tblCellMar>
        </w:tblPrEx>
        <w:trPr>
          <w:trHeight w:val="471"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5</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 w:val="20"/>
                <w:szCs w:val="21"/>
              </w:rPr>
            </w:pPr>
            <w:r>
              <w:rPr>
                <w:rFonts w:hint="eastAsia" w:ascii="Times New Roman" w:hAnsi="Times New Roman" w:eastAsia="宋体"/>
                <w:sz w:val="20"/>
                <w:szCs w:val="21"/>
              </w:rPr>
              <w:t>售后服务</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根据投标人提供的售后服务、质量保证期、响应时间、修复时间、故障解决办法、人员培训等方面的方案进行评分。整体方案优秀得5分、良好得3分、一般得1分，否则0分。</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 w:val="20"/>
                <w:szCs w:val="21"/>
              </w:rPr>
            </w:pPr>
            <w:r>
              <w:rPr>
                <w:rFonts w:hint="eastAsia" w:ascii="Times New Roman" w:hAnsi="Times New Roman" w:eastAsia="宋体" w:cs="仿宋"/>
                <w:szCs w:val="21"/>
              </w:rPr>
              <w:t>5</w:t>
            </w:r>
          </w:p>
        </w:tc>
      </w:tr>
      <w:tr>
        <w:tblPrEx>
          <w:tblCellMar>
            <w:top w:w="0" w:type="dxa"/>
            <w:left w:w="108" w:type="dxa"/>
            <w:bottom w:w="0" w:type="dxa"/>
            <w:right w:w="108" w:type="dxa"/>
          </w:tblCellMar>
        </w:tblPrEx>
        <w:trPr>
          <w:trHeight w:val="471"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6</w:t>
            </w:r>
          </w:p>
        </w:tc>
        <w:tc>
          <w:tcPr>
            <w:tcW w:w="1579" w:type="dxa"/>
            <w:tcBorders>
              <w:top w:val="single" w:color="auto" w:sz="4" w:space="0"/>
              <w:left w:val="single" w:color="auto" w:sz="4" w:space="0"/>
              <w:bottom w:val="single" w:color="auto" w:sz="4" w:space="0"/>
              <w:right w:val="single" w:color="auto" w:sz="4" w:space="0"/>
            </w:tcBorders>
            <w:vAlign w:val="center"/>
          </w:tcPr>
          <w:p>
            <w:pPr>
              <w:spacing w:line="360" w:lineRule="auto"/>
              <w:jc w:val="left"/>
              <w:textAlignment w:val="baseline"/>
              <w:rPr>
                <w:rFonts w:ascii="Times New Roman" w:hAnsi="Times New Roman" w:eastAsia="宋体" w:cs="Times New Roman"/>
                <w:szCs w:val="21"/>
                <w:highlight w:val="red"/>
              </w:rPr>
            </w:pPr>
            <w:r>
              <w:rPr>
                <w:rFonts w:hint="eastAsia" w:ascii="Times New Roman" w:hAnsi="Times New Roman" w:eastAsia="宋体" w:cs="Times New Roman"/>
                <w:szCs w:val="21"/>
              </w:rPr>
              <w:t>项目实施</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highlight w:val="red"/>
              </w:rPr>
            </w:pPr>
            <w:r>
              <w:rPr>
                <w:rFonts w:hint="eastAsia" w:ascii="Times New Roman" w:hAnsi="Times New Roman" w:eastAsia="宋体" w:cs="仿宋"/>
                <w:szCs w:val="21"/>
              </w:rPr>
              <w:t>具有成熟可靠的项目实施方案、并具有必要的质量管理措施，能保证项目正常稳定实施并保证产品稳定运行。根据投标方案阐述进行评价打分。评价优秀得5分、良好得3分、一般得1分，否则0分。</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Cs w:val="21"/>
                <w:highlight w:val="red"/>
              </w:rPr>
            </w:pPr>
            <w:r>
              <w:rPr>
                <w:rFonts w:hint="eastAsia" w:ascii="Times New Roman" w:hAnsi="Times New Roman" w:eastAsia="宋体" w:cs="仿宋"/>
                <w:szCs w:val="21"/>
              </w:rPr>
              <w:t>5</w:t>
            </w:r>
          </w:p>
        </w:tc>
      </w:tr>
      <w:tr>
        <w:tblPrEx>
          <w:tblCellMar>
            <w:top w:w="0" w:type="dxa"/>
            <w:left w:w="108" w:type="dxa"/>
            <w:bottom w:w="0" w:type="dxa"/>
            <w:right w:w="108" w:type="dxa"/>
          </w:tblCellMar>
        </w:tblPrEx>
        <w:trPr>
          <w:trHeight w:val="471"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7</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cs="Times New Roman"/>
                <w:szCs w:val="21"/>
              </w:rPr>
            </w:pPr>
            <w:r>
              <w:rPr>
                <w:rFonts w:hint="eastAsia" w:ascii="Times New Roman" w:hAnsi="Times New Roman" w:eastAsia="宋体" w:cs="Times New Roman"/>
                <w:szCs w:val="21"/>
              </w:rPr>
              <w:t>项目验收</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根据投标人提供的项目验收的方案，根据其是否提出了完善可实施的验收方案及计划，根据投标方案阐述进行评价，酌情分档给分，优秀得5分、良好得3分、一般得1分，否则0分。</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Cs w:val="21"/>
              </w:rPr>
            </w:pPr>
            <w:r>
              <w:rPr>
                <w:rFonts w:hint="eastAsia" w:ascii="Times New Roman" w:hAnsi="Times New Roman" w:eastAsia="宋体" w:cs="仿宋"/>
                <w:szCs w:val="21"/>
              </w:rPr>
              <w:t>5</w:t>
            </w:r>
          </w:p>
        </w:tc>
      </w:tr>
      <w:tr>
        <w:tblPrEx>
          <w:tblCellMar>
            <w:top w:w="0" w:type="dxa"/>
            <w:left w:w="108" w:type="dxa"/>
            <w:bottom w:w="0" w:type="dxa"/>
            <w:right w:w="108" w:type="dxa"/>
          </w:tblCellMar>
        </w:tblPrEx>
        <w:trPr>
          <w:trHeight w:val="260"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合计</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70</w:t>
            </w:r>
          </w:p>
        </w:tc>
      </w:tr>
    </w:tbl>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注：以上证明材料提供原件复印件并将原件带至开标现场备查，未携带原件或因携带原件不全所引起的后果由投标供应商自行承担。</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（二）报价分：（30分）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rPr>
        <w:t>本次项目最高限价：28</w:t>
      </w:r>
      <w:r>
        <w:rPr>
          <w:rFonts w:hint="eastAsia" w:ascii="Times New Roman" w:hAnsi="Times New Roman" w:eastAsia="宋体" w:cs="Arial"/>
          <w:b/>
          <w:bCs/>
          <w:kern w:val="0"/>
          <w:sz w:val="24"/>
        </w:rPr>
        <w:t>万元</w:t>
      </w:r>
      <w:r>
        <w:rPr>
          <w:rFonts w:hint="eastAsia" w:ascii="Times New Roman" w:hAnsi="Times New Roman" w:eastAsia="宋体" w:cs="宋体"/>
          <w:b/>
          <w:sz w:val="24"/>
          <w:szCs w:val="24"/>
        </w:rPr>
        <w:t>，超过限价作无效标处理</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2、满足磋商文件要求且最后报价最低的供应商的价格为磋商基准价，其报价分为满分。其他供应商的报价分统一按照下列公式计算：</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报价分 =（磋商基准价/最后磋商报价）×30%×100</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1、未按规定时间、数额、规定形式提交磋商保证金的；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2、响应文件未按规定要求装订、密封、签署、盖章及主要资料不齐全的；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13、未按要求提供样品的</w:t>
      </w:r>
      <w:r>
        <w:rPr>
          <w:rFonts w:hint="eastAsia" w:ascii="Times New Roman" w:hAnsi="Times New Roman" w:eastAsia="宋体" w:cs="宋体"/>
          <w:color w:val="000000" w:themeColor="text1"/>
          <w:sz w:val="24"/>
          <w:szCs w:val="24"/>
        </w:rPr>
        <w:t>（如有）</w:t>
      </w:r>
      <w:r>
        <w:rPr>
          <w:rFonts w:hint="eastAsia" w:ascii="Times New Roman" w:hAnsi="Times New Roman" w:eastAsia="宋体" w:cs="宋体"/>
          <w:sz w:val="24"/>
          <w:szCs w:val="24"/>
        </w:rPr>
        <w:t>。</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2、因情况变化，不再符合规定的竞争性磋商采购方式所适用情形的；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成交供应商在《成交通知书》发出15日内须按照磋商文件确定的事项签订政府采购合同。合同一式四份，采购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两份、供应商两份。所签合同不得对磋商文件作实质性修改。采购单位不得向成交供应商提出不合理的要求作为签订合同的条件，不得与成交供应商私下订立背离磋商文件实质性内容的协议。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 xml:space="preserve"> 二、采购单位按合同约定积极配合中标人履约，中标人履约到位后，请以书面形式向采购单位提出验收申请，采购</w:t>
      </w:r>
      <w:r>
        <w:rPr>
          <w:rFonts w:hint="eastAsia" w:ascii="Times New Roman" w:hAnsi="Times New Roman" w:eastAsia="宋体" w:cs="宋体"/>
          <w:kern w:val="0"/>
          <w:sz w:val="24"/>
          <w:szCs w:val="24"/>
        </w:rPr>
        <w:t>单位</w:t>
      </w:r>
      <w:r>
        <w:rPr>
          <w:rFonts w:hint="eastAsia" w:ascii="Times New Roman" w:hAnsi="Times New Roman" w:eastAsia="宋体" w:cs="宋体"/>
          <w:sz w:val="24"/>
        </w:rPr>
        <w:t>接到申请后原则上在5个工作日内及时组织相关专业技术人员，必要时邀请质检等部门共同参与验收，并出具验收报告，验收合格的原则上5个工作日内支付相应款项。</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五、按政府采购合同</w:t>
      </w:r>
      <w:r>
        <w:rPr>
          <w:rFonts w:hint="eastAsia" w:ascii="Times New Roman" w:hAnsi="Times New Roman" w:eastAsia="宋体" w:cs="宋体"/>
          <w:kern w:val="0"/>
          <w:sz w:val="24"/>
        </w:rPr>
        <w:t>约定</w:t>
      </w:r>
      <w:r>
        <w:rPr>
          <w:rFonts w:hint="eastAsia" w:ascii="Times New Roman" w:hAnsi="Times New Roman" w:eastAsia="宋体" w:cs="宋体"/>
          <w:sz w:val="24"/>
        </w:rPr>
        <w:t>支付的货款，实行财政国库直接支付。</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七、付款方式详见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rPr>
      </w:pPr>
      <w:r>
        <w:rPr>
          <w:rFonts w:hint="eastAsia" w:ascii="Times New Roman" w:hAnsi="Times New Roman" w:eastAsia="宋体" w:cs="宋体"/>
          <w:sz w:val="24"/>
        </w:rPr>
        <w:t>八、以上项目款的支付不计息。</w:t>
      </w:r>
    </w:p>
    <w:p>
      <w:pPr>
        <w:rPr>
          <w:rFonts w:ascii="Times New Roman" w:hAnsi="Times New Roman" w:eastAsia="宋体"/>
          <w:w w:val="80"/>
          <w:kern w:val="44"/>
        </w:rPr>
      </w:pP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1、提供供应商的《营业执照》（副本）及《税务登记证》（副本）（或提供新版“三证合一”具有统一社会信用代码的营业执照）原件的复印件（须加盖公章）；</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如为法定代表人参加磋商的，必须提供法定代表人身份证明及本人身份证原件的复印件。如为被委托授权人参加投标的，还须提供法人代表签名或盖章的授权委托书及被委托授权人身份证的这两项原件的复印件（须加盖公章）（</w:t>
      </w:r>
      <w:r>
        <w:rPr>
          <w:rFonts w:hint="eastAsia" w:ascii="Times New Roman" w:hAnsi="Times New Roman" w:eastAsia="宋体" w:cs="宋体"/>
          <w:sz w:val="24"/>
          <w:szCs w:val="24"/>
        </w:rPr>
        <w:t>格式参见附件）</w:t>
      </w:r>
      <w:r>
        <w:rPr>
          <w:rFonts w:hint="eastAsia"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3、投标供应商符合《中华人民共和国政府采购法》第二十二条规定条件的承诺函（格式参见附件）；</w:t>
      </w:r>
      <w:r>
        <w:rPr>
          <w:rFonts w:ascii="Times New Roman" w:hAnsi="Times New Roman" w:eastAsia="宋体"/>
          <w:sz w:val="24"/>
          <w:szCs w:val="24"/>
        </w:rPr>
        <w:t xml:space="preserve"> </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4、投标供应商须提供诚信承诺书（</w:t>
      </w:r>
      <w:r>
        <w:rPr>
          <w:rFonts w:hint="eastAsia" w:ascii="Times New Roman" w:hAnsi="Times New Roman" w:eastAsia="宋体" w:cs="宋体"/>
          <w:sz w:val="24"/>
          <w:szCs w:val="24"/>
        </w:rPr>
        <w:t>格式参见附件）；</w:t>
      </w:r>
    </w:p>
    <w:p>
      <w:pPr>
        <w:spacing w:line="360" w:lineRule="auto"/>
        <w:ind w:firstLine="482" w:firstLineChars="200"/>
        <w:jc w:val="left"/>
        <w:textAlignment w:val="baseline"/>
        <w:rPr>
          <w:rFonts w:ascii="Times New Roman" w:hAnsi="Times New Roman" w:eastAsia="宋体"/>
          <w:b/>
          <w:sz w:val="24"/>
          <w:szCs w:val="24"/>
        </w:rPr>
      </w:pPr>
      <w:r>
        <w:rPr>
          <w:rFonts w:hint="eastAsia" w:ascii="Times New Roman" w:hAnsi="Times New Roman" w:eastAsia="宋体"/>
          <w:b/>
          <w:sz w:val="24"/>
          <w:szCs w:val="24"/>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rPr>
        <w:t>二、技术响应文件（单独密封）：</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人自行承担。</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3、磋商响应报价明细表（格式自拟）；</w:t>
      </w:r>
    </w:p>
    <w:p>
      <w:pPr>
        <w:spacing w:line="360" w:lineRule="auto"/>
        <w:ind w:firstLine="480" w:firstLineChars="200"/>
        <w:textAlignment w:val="baseline"/>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rPr>
        <w:t>南通市第三人民医院护理敏感指标及输血模块系统采购项目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rPr>
        <w:t>南通市第三人民医院护理敏感指标及输血模块系统采购项目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3、投标人符合《中华人民共和国政府采购法》第二十二条规定条件的承诺函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400" w:lineRule="exact"/>
        <w:rPr>
          <w:rFonts w:ascii="Times New Roman" w:hAnsi="Times New Roman" w:eastAsia="宋体" w:cs="Times New Roman"/>
          <w:sz w:val="28"/>
          <w:szCs w:val="20"/>
        </w:rPr>
      </w:pPr>
    </w:p>
    <w:p>
      <w:pPr>
        <w:spacing w:line="480" w:lineRule="auto"/>
        <w:ind w:firstLine="480" w:firstLineChars="200"/>
        <w:jc w:val="right"/>
        <w:rPr>
          <w:rFonts w:ascii="Times New Roman" w:hAnsi="Times New Roman" w:eastAsia="宋体" w:cs="宋体"/>
          <w:sz w:val="24"/>
          <w:szCs w:val="24"/>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jc w:val="center"/>
        <w:rPr>
          <w:rFonts w:ascii="Times New Roman" w:hAnsi="Times New Roman" w:eastAsia="宋体"/>
          <w:b/>
          <w:sz w:val="24"/>
          <w:szCs w:val="24"/>
        </w:rPr>
      </w:pPr>
      <w:r>
        <w:rPr>
          <w:rFonts w:hint="eastAsia" w:ascii="Times New Roman" w:hAnsi="Times New Roman" w:eastAsia="宋体"/>
          <w:b/>
          <w:sz w:val="24"/>
          <w:szCs w:val="24"/>
        </w:rPr>
        <w:t>5、技术商务条款响应正负偏离表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5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953"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ind w:firstLine="480"/>
              <w:textAlignment w:val="baseline"/>
              <w:rPr>
                <w:rFonts w:ascii="Times New Roman" w:hAnsi="Times New Roman" w:eastAsia="宋体" w:cs="宋体"/>
                <w:sz w:val="24"/>
                <w:szCs w:val="24"/>
              </w:rPr>
            </w:pP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400" w:lineRule="exact"/>
        <w:rPr>
          <w:rFonts w:ascii="Times New Roman" w:hAnsi="Times New Roman" w:eastAsia="宋体" w:cs="仿宋"/>
          <w:sz w:val="28"/>
          <w:szCs w:val="28"/>
        </w:rPr>
      </w:pPr>
    </w:p>
    <w:p>
      <w:pPr>
        <w:widowControl/>
        <w:jc w:val="center"/>
        <w:rPr>
          <w:rFonts w:ascii="Times New Roman" w:hAnsi="Times New Roman" w:eastAsia="宋体" w:cs="宋体"/>
          <w:b/>
          <w:bCs/>
          <w:sz w:val="24"/>
          <w:szCs w:val="24"/>
        </w:rPr>
      </w:pPr>
    </w:p>
    <w:p>
      <w:pPr>
        <w:widowControl/>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6、竞争性磋商响应函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依据贵单位委托代理机构组织的（磋商项目名称)项目竞争性磋商的邀请，我方授权（姓名）（职务）为全权代表参加该项目的磋商工作，全权处理本次竞争性磋商的有关事宜。同时，我公司声明如下：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7、磋商响应报价表</w:t>
      </w:r>
    </w:p>
    <w:p>
      <w:pPr>
        <w:spacing w:line="360" w:lineRule="auto"/>
        <w:ind w:firstLine="241" w:firstLineChars="100"/>
        <w:textAlignment w:val="baseline"/>
        <w:rPr>
          <w:rFonts w:ascii="Times New Roman" w:hAnsi="Times New Roman" w:eastAsia="宋体"/>
          <w:b/>
          <w:sz w:val="24"/>
          <w:szCs w:val="24"/>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rPr>
        <w:t>南通市第三人民医院护理敏感指标及输血模块系统采购项目</w:t>
      </w:r>
    </w:p>
    <w:tbl>
      <w:tblPr>
        <w:tblStyle w:val="1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eastAsia="宋体"/>
                <w:b/>
                <w:bCs/>
                <w:sz w:val="20"/>
                <w:szCs w:val="21"/>
              </w:rPr>
            </w:pPr>
            <w:r>
              <w:rPr>
                <w:rFonts w:hint="eastAsia" w:ascii="Times New Roman" w:hAnsi="Times New Roman" w:eastAsia="宋体"/>
                <w:b/>
                <w:sz w:val="22"/>
                <w:szCs w:val="24"/>
              </w:rPr>
              <w:t>南通市第三人民医院护理敏感指标及输血模块系统采购项目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9"/>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采购货物或产品的材料费、设计开发费、安装调试、运行维护费、运输到指定地点的装运费用（含装卸力资）、相关安装辅助材料费、成品保护费、竣工测试费、验收费、检测费、技术培训费、售后服务计划及购买、代理服务费、税金、政策性文件规定及合同包含的所有风险、责任等所有预见和不可预见的费用。即招标物交付使用前的所有费用以及免保期内的服务费用等包含响应招标文件采购要求的所有费用；在安装、调试、验收过程中，如发现有漏项、缺件，部件不符，卖方应无条件、无偿补发，由此所发生的费用中标人自行承担。</w:t>
      </w:r>
      <w:r>
        <w:rPr>
          <w:rFonts w:hint="eastAsia" w:ascii="Times New Roman" w:hAnsi="Times New Roman" w:eastAsia="宋体" w:cs="宋体"/>
          <w:kern w:val="0"/>
          <w:sz w:val="24"/>
          <w:szCs w:val="24"/>
        </w:rPr>
        <w:t>同时，报价也包含了合同履行过程中可能发生的一切风险。</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rPr>
        <w:t>第二次报价将在开标现场填写，响应文件密封提交时只需填写磋商报价总计（首次）。报价明细表总价金额应当与首次报价表金额相等，且第二次报价时，磋商响应报价明细表按同比例下浮。</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6"/>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磋商响应报价明细表</w:t>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（格式自拟）</w:t>
      </w: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E5272"/>
    <w:multiLevelType w:val="multilevel"/>
    <w:tmpl w:val="07AE52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E3F3EAD"/>
    <w:multiLevelType w:val="multilevel"/>
    <w:tmpl w:val="0E3F3EA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67CF87C"/>
    <w:multiLevelType w:val="singleLevel"/>
    <w:tmpl w:val="167CF87C"/>
    <w:lvl w:ilvl="0" w:tentative="0">
      <w:start w:val="8"/>
      <w:numFmt w:val="decimal"/>
      <w:suff w:val="nothing"/>
      <w:lvlText w:val="%1、"/>
      <w:lvlJc w:val="left"/>
    </w:lvl>
  </w:abstractNum>
  <w:abstractNum w:abstractNumId="3">
    <w:nsid w:val="29584628"/>
    <w:multiLevelType w:val="multilevel"/>
    <w:tmpl w:val="295846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F346B05"/>
    <w:multiLevelType w:val="multilevel"/>
    <w:tmpl w:val="3F346B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DFC509A"/>
    <w:multiLevelType w:val="multilevel"/>
    <w:tmpl w:val="5DFC50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5NzRkNjBkNGM1MDZjMGQ3YmZiMTBjOGQ5ZTk0YjAifQ=="/>
  </w:docVars>
  <w:rsids>
    <w:rsidRoot w:val="0042773D"/>
    <w:rsid w:val="00005621"/>
    <w:rsid w:val="000105F3"/>
    <w:rsid w:val="000116CF"/>
    <w:rsid w:val="00011718"/>
    <w:rsid w:val="00030656"/>
    <w:rsid w:val="00045AD0"/>
    <w:rsid w:val="00045B8C"/>
    <w:rsid w:val="00062F66"/>
    <w:rsid w:val="000633EC"/>
    <w:rsid w:val="00066F50"/>
    <w:rsid w:val="00076D60"/>
    <w:rsid w:val="0009698F"/>
    <w:rsid w:val="000B6C99"/>
    <w:rsid w:val="000C02A3"/>
    <w:rsid w:val="000D3147"/>
    <w:rsid w:val="000E2EB7"/>
    <w:rsid w:val="000F0E95"/>
    <w:rsid w:val="000F3E59"/>
    <w:rsid w:val="00111B21"/>
    <w:rsid w:val="0015616E"/>
    <w:rsid w:val="0018047F"/>
    <w:rsid w:val="0019545C"/>
    <w:rsid w:val="0019651E"/>
    <w:rsid w:val="001B56D8"/>
    <w:rsid w:val="001B7B5D"/>
    <w:rsid w:val="001F4D5A"/>
    <w:rsid w:val="002034D1"/>
    <w:rsid w:val="00203F3E"/>
    <w:rsid w:val="00205384"/>
    <w:rsid w:val="002063EF"/>
    <w:rsid w:val="002219C9"/>
    <w:rsid w:val="00231ACD"/>
    <w:rsid w:val="00234A6B"/>
    <w:rsid w:val="002375BD"/>
    <w:rsid w:val="00240734"/>
    <w:rsid w:val="002468A6"/>
    <w:rsid w:val="002707F5"/>
    <w:rsid w:val="00285BC2"/>
    <w:rsid w:val="00286641"/>
    <w:rsid w:val="002A1341"/>
    <w:rsid w:val="002B6511"/>
    <w:rsid w:val="002C01E3"/>
    <w:rsid w:val="002E1BA8"/>
    <w:rsid w:val="002E40A5"/>
    <w:rsid w:val="002F6EFE"/>
    <w:rsid w:val="002F7C52"/>
    <w:rsid w:val="002F7F56"/>
    <w:rsid w:val="00331324"/>
    <w:rsid w:val="00362918"/>
    <w:rsid w:val="00364AB1"/>
    <w:rsid w:val="00370501"/>
    <w:rsid w:val="00384F42"/>
    <w:rsid w:val="003A3B0E"/>
    <w:rsid w:val="003A55F0"/>
    <w:rsid w:val="003B1E8E"/>
    <w:rsid w:val="003B571B"/>
    <w:rsid w:val="003C18C2"/>
    <w:rsid w:val="003C3D48"/>
    <w:rsid w:val="003C6028"/>
    <w:rsid w:val="003D4871"/>
    <w:rsid w:val="003D6A6B"/>
    <w:rsid w:val="003E584E"/>
    <w:rsid w:val="00403F33"/>
    <w:rsid w:val="00404138"/>
    <w:rsid w:val="004069DE"/>
    <w:rsid w:val="00414EA1"/>
    <w:rsid w:val="004254FC"/>
    <w:rsid w:val="0042773D"/>
    <w:rsid w:val="004413CE"/>
    <w:rsid w:val="00441B78"/>
    <w:rsid w:val="00447FFB"/>
    <w:rsid w:val="004527FC"/>
    <w:rsid w:val="00454AC9"/>
    <w:rsid w:val="00475EA1"/>
    <w:rsid w:val="004867BB"/>
    <w:rsid w:val="004A2D24"/>
    <w:rsid w:val="004A2F36"/>
    <w:rsid w:val="004B122F"/>
    <w:rsid w:val="004B496E"/>
    <w:rsid w:val="004D117D"/>
    <w:rsid w:val="004D5E42"/>
    <w:rsid w:val="005078ED"/>
    <w:rsid w:val="00576289"/>
    <w:rsid w:val="005841A4"/>
    <w:rsid w:val="005A31EB"/>
    <w:rsid w:val="005C3634"/>
    <w:rsid w:val="005C5B61"/>
    <w:rsid w:val="005D1282"/>
    <w:rsid w:val="005D73C6"/>
    <w:rsid w:val="00633A81"/>
    <w:rsid w:val="00645528"/>
    <w:rsid w:val="006902A0"/>
    <w:rsid w:val="00693857"/>
    <w:rsid w:val="00694D70"/>
    <w:rsid w:val="00695A9F"/>
    <w:rsid w:val="006A5E64"/>
    <w:rsid w:val="006B4338"/>
    <w:rsid w:val="006C59BF"/>
    <w:rsid w:val="006D3A4D"/>
    <w:rsid w:val="006D5C68"/>
    <w:rsid w:val="006F43E4"/>
    <w:rsid w:val="00734530"/>
    <w:rsid w:val="00744D06"/>
    <w:rsid w:val="0077451C"/>
    <w:rsid w:val="00785C7E"/>
    <w:rsid w:val="007B5ED6"/>
    <w:rsid w:val="007C3E59"/>
    <w:rsid w:val="007C52C4"/>
    <w:rsid w:val="007D447F"/>
    <w:rsid w:val="007D4AD9"/>
    <w:rsid w:val="007D501E"/>
    <w:rsid w:val="007D7533"/>
    <w:rsid w:val="007E4882"/>
    <w:rsid w:val="007F782E"/>
    <w:rsid w:val="0082282D"/>
    <w:rsid w:val="008324DA"/>
    <w:rsid w:val="00881F22"/>
    <w:rsid w:val="00884AF5"/>
    <w:rsid w:val="00891163"/>
    <w:rsid w:val="008913C5"/>
    <w:rsid w:val="008B1772"/>
    <w:rsid w:val="008B53C9"/>
    <w:rsid w:val="008C0188"/>
    <w:rsid w:val="008D5C8C"/>
    <w:rsid w:val="008D7EBD"/>
    <w:rsid w:val="008E53EB"/>
    <w:rsid w:val="008F46B1"/>
    <w:rsid w:val="00905A18"/>
    <w:rsid w:val="00910A22"/>
    <w:rsid w:val="00911A50"/>
    <w:rsid w:val="00927F05"/>
    <w:rsid w:val="009317AE"/>
    <w:rsid w:val="0094400C"/>
    <w:rsid w:val="00951E5B"/>
    <w:rsid w:val="00956F45"/>
    <w:rsid w:val="00967875"/>
    <w:rsid w:val="00975BB0"/>
    <w:rsid w:val="009823DF"/>
    <w:rsid w:val="009948AB"/>
    <w:rsid w:val="0099591F"/>
    <w:rsid w:val="009A4AAF"/>
    <w:rsid w:val="009D17F8"/>
    <w:rsid w:val="009F3280"/>
    <w:rsid w:val="00A00280"/>
    <w:rsid w:val="00A46B05"/>
    <w:rsid w:val="00A775B1"/>
    <w:rsid w:val="00AA53A1"/>
    <w:rsid w:val="00AB3858"/>
    <w:rsid w:val="00AB397A"/>
    <w:rsid w:val="00AC1356"/>
    <w:rsid w:val="00AC167D"/>
    <w:rsid w:val="00AD0E54"/>
    <w:rsid w:val="00AF67B7"/>
    <w:rsid w:val="00B1621D"/>
    <w:rsid w:val="00B24F83"/>
    <w:rsid w:val="00B36A38"/>
    <w:rsid w:val="00B50963"/>
    <w:rsid w:val="00B5131F"/>
    <w:rsid w:val="00B523EC"/>
    <w:rsid w:val="00B54D9A"/>
    <w:rsid w:val="00B76D85"/>
    <w:rsid w:val="00B97CDB"/>
    <w:rsid w:val="00BA0DE5"/>
    <w:rsid w:val="00BA502C"/>
    <w:rsid w:val="00BB48A3"/>
    <w:rsid w:val="00BC3246"/>
    <w:rsid w:val="00C02F17"/>
    <w:rsid w:val="00C047C7"/>
    <w:rsid w:val="00C74551"/>
    <w:rsid w:val="00C852E2"/>
    <w:rsid w:val="00C87961"/>
    <w:rsid w:val="00C96A7A"/>
    <w:rsid w:val="00CA125B"/>
    <w:rsid w:val="00CA3A6E"/>
    <w:rsid w:val="00CB2559"/>
    <w:rsid w:val="00CC7436"/>
    <w:rsid w:val="00CD1E8F"/>
    <w:rsid w:val="00CF0C61"/>
    <w:rsid w:val="00CF19FE"/>
    <w:rsid w:val="00CF4BAE"/>
    <w:rsid w:val="00D1244F"/>
    <w:rsid w:val="00D1283C"/>
    <w:rsid w:val="00D160B0"/>
    <w:rsid w:val="00D31ACC"/>
    <w:rsid w:val="00D520F7"/>
    <w:rsid w:val="00D56C3B"/>
    <w:rsid w:val="00D66756"/>
    <w:rsid w:val="00D82A58"/>
    <w:rsid w:val="00D8401B"/>
    <w:rsid w:val="00D977B3"/>
    <w:rsid w:val="00DB6573"/>
    <w:rsid w:val="00DC04E7"/>
    <w:rsid w:val="00DC24D0"/>
    <w:rsid w:val="00DC7ABA"/>
    <w:rsid w:val="00E03D8E"/>
    <w:rsid w:val="00E07EEE"/>
    <w:rsid w:val="00E86D63"/>
    <w:rsid w:val="00E90F14"/>
    <w:rsid w:val="00E91EDF"/>
    <w:rsid w:val="00F04F82"/>
    <w:rsid w:val="00F1322E"/>
    <w:rsid w:val="00F16606"/>
    <w:rsid w:val="00F357CB"/>
    <w:rsid w:val="00F5137C"/>
    <w:rsid w:val="00F63B31"/>
    <w:rsid w:val="00F825EC"/>
    <w:rsid w:val="00FA0374"/>
    <w:rsid w:val="00FB003F"/>
    <w:rsid w:val="00FC398C"/>
    <w:rsid w:val="00FD532E"/>
    <w:rsid w:val="00FD737A"/>
    <w:rsid w:val="00FE35B6"/>
    <w:rsid w:val="05C80770"/>
    <w:rsid w:val="15F6320B"/>
    <w:rsid w:val="172D03A2"/>
    <w:rsid w:val="23531264"/>
    <w:rsid w:val="322E658F"/>
    <w:rsid w:val="3329796B"/>
    <w:rsid w:val="333A41AC"/>
    <w:rsid w:val="34700A2F"/>
    <w:rsid w:val="3D504F82"/>
    <w:rsid w:val="50DE21C3"/>
    <w:rsid w:val="57822337"/>
    <w:rsid w:val="5F433550"/>
    <w:rsid w:val="712D5BF6"/>
    <w:rsid w:val="72BF1288"/>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5">
    <w:name w:val="heading 2"/>
    <w:basedOn w:val="1"/>
    <w:next w:val="1"/>
    <w:link w:val="27"/>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Normal Indent"/>
    <w:basedOn w:val="1"/>
    <w:link w:val="25"/>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28"/>
    <w:semiHidden/>
    <w:unhideWhenUsed/>
    <w:qFormat/>
    <w:uiPriority w:val="99"/>
    <w:rPr>
      <w:rFonts w:ascii="宋体" w:eastAsia="宋体"/>
      <w:sz w:val="18"/>
      <w:szCs w:val="18"/>
    </w:rPr>
  </w:style>
  <w:style w:type="paragraph" w:styleId="8">
    <w:name w:val="annotation text"/>
    <w:basedOn w:val="1"/>
    <w:link w:val="31"/>
    <w:semiHidden/>
    <w:unhideWhenUsed/>
    <w:qFormat/>
    <w:uiPriority w:val="99"/>
    <w:pPr>
      <w:jc w:val="left"/>
    </w:pPr>
  </w:style>
  <w:style w:type="paragraph" w:styleId="9">
    <w:name w:val="index 4"/>
    <w:basedOn w:val="1"/>
    <w:next w:val="1"/>
    <w:qFormat/>
    <w:uiPriority w:val="0"/>
    <w:pPr>
      <w:ind w:left="1260"/>
    </w:pPr>
    <w:rPr>
      <w:rFonts w:ascii="Calibri" w:hAnsi="Calibri" w:eastAsia="宋体" w:cs="Times New Roman"/>
      <w:szCs w:val="20"/>
    </w:rPr>
  </w:style>
  <w:style w:type="paragraph" w:styleId="10">
    <w:name w:val="toc 3"/>
    <w:basedOn w:val="1"/>
    <w:next w:val="1"/>
    <w:qFormat/>
    <w:uiPriority w:val="0"/>
    <w:pPr>
      <w:ind w:left="840" w:leftChars="400"/>
    </w:pPr>
    <w:rPr>
      <w:rFonts w:ascii="Calibri" w:hAnsi="Calibri" w:eastAsia="宋体" w:cs="Times New Roman"/>
      <w:szCs w:val="20"/>
    </w:rPr>
  </w:style>
  <w:style w:type="paragraph" w:styleId="11">
    <w:name w:val="Plain Text"/>
    <w:basedOn w:val="1"/>
    <w:next w:val="1"/>
    <w:qFormat/>
    <w:uiPriority w:val="0"/>
    <w:rPr>
      <w:rFonts w:ascii="宋体" w:hAnsi="Courier New" w:eastAsia="宋体" w:cs="Times New Roman"/>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7">
    <w:name w:val="annotation subject"/>
    <w:basedOn w:val="8"/>
    <w:next w:val="8"/>
    <w:link w:val="32"/>
    <w:semiHidden/>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正文缩进 Char"/>
    <w:link w:val="6"/>
    <w:qFormat/>
    <w:uiPriority w:val="0"/>
    <w:rPr>
      <w:rFonts w:ascii="Calibri" w:hAnsi="Calibri" w:eastAsia="楷体_GB2312" w:cs="Times New Roman"/>
      <w:kern w:val="0"/>
      <w:sz w:val="24"/>
      <w:szCs w:val="20"/>
    </w:rPr>
  </w:style>
  <w:style w:type="character" w:customStyle="1" w:styleId="26">
    <w:name w:val="标题 1 Char"/>
    <w:basedOn w:val="20"/>
    <w:link w:val="4"/>
    <w:qFormat/>
    <w:uiPriority w:val="0"/>
    <w:rPr>
      <w:rFonts w:ascii="Calibri" w:hAnsi="Calibri" w:eastAsia="楷体_GB2312" w:cs="Times New Roman"/>
      <w:b/>
      <w:kern w:val="44"/>
      <w:sz w:val="44"/>
      <w:szCs w:val="20"/>
    </w:rPr>
  </w:style>
  <w:style w:type="character" w:customStyle="1" w:styleId="27">
    <w:name w:val="标题 2 Char"/>
    <w:basedOn w:val="20"/>
    <w:link w:val="5"/>
    <w:qFormat/>
    <w:uiPriority w:val="9"/>
    <w:rPr>
      <w:rFonts w:asciiTheme="majorHAnsi" w:hAnsiTheme="majorHAnsi" w:eastAsiaTheme="majorEastAsia" w:cstheme="majorBidi"/>
      <w:b/>
      <w:bCs/>
      <w:sz w:val="32"/>
      <w:szCs w:val="32"/>
    </w:rPr>
  </w:style>
  <w:style w:type="character" w:customStyle="1" w:styleId="28">
    <w:name w:val="文档结构图 Char"/>
    <w:basedOn w:val="20"/>
    <w:link w:val="7"/>
    <w:semiHidden/>
    <w:qFormat/>
    <w:uiPriority w:val="99"/>
    <w:rPr>
      <w:rFonts w:ascii="宋体" w:eastAsia="宋体"/>
      <w:sz w:val="18"/>
      <w:szCs w:val="18"/>
    </w:rPr>
  </w:style>
  <w:style w:type="character" w:customStyle="1" w:styleId="29">
    <w:name w:val="NormalCharacter"/>
    <w:qFormat/>
    <w:uiPriority w:val="0"/>
    <w:rPr>
      <w:rFonts w:ascii="Times New Roman" w:hAnsi="Times New Roman" w:eastAsia="宋体" w:cs="Times New Roman"/>
    </w:rPr>
  </w:style>
  <w:style w:type="character" w:customStyle="1" w:styleId="30">
    <w:name w:val="批注框文本 Char"/>
    <w:basedOn w:val="20"/>
    <w:link w:val="12"/>
    <w:semiHidden/>
    <w:qFormat/>
    <w:uiPriority w:val="99"/>
    <w:rPr>
      <w:kern w:val="2"/>
      <w:sz w:val="18"/>
      <w:szCs w:val="18"/>
    </w:rPr>
  </w:style>
  <w:style w:type="character" w:customStyle="1" w:styleId="31">
    <w:name w:val="批注文字 Char"/>
    <w:basedOn w:val="20"/>
    <w:link w:val="8"/>
    <w:semiHidden/>
    <w:qFormat/>
    <w:uiPriority w:val="99"/>
    <w:rPr>
      <w:kern w:val="2"/>
      <w:sz w:val="21"/>
      <w:szCs w:val="22"/>
    </w:rPr>
  </w:style>
  <w:style w:type="character" w:customStyle="1" w:styleId="32">
    <w:name w:val="批注主题 Char"/>
    <w:basedOn w:val="31"/>
    <w:link w:val="17"/>
    <w:semiHidden/>
    <w:qFormat/>
    <w:uiPriority w:val="99"/>
    <w:rPr>
      <w:b/>
      <w:bCs/>
      <w:kern w:val="2"/>
      <w:sz w:val="21"/>
      <w:szCs w:val="22"/>
    </w:rPr>
  </w:style>
  <w:style w:type="character" w:customStyle="1" w:styleId="33">
    <w:name w:val="普通正文 Char"/>
    <w:link w:val="34"/>
    <w:qFormat/>
    <w:uiPriority w:val="0"/>
    <w:rPr>
      <w:rFonts w:ascii="Arial" w:hAnsi="Arial"/>
      <w:sz w:val="24"/>
      <w:szCs w:val="24"/>
    </w:rPr>
  </w:style>
  <w:style w:type="paragraph" w:customStyle="1" w:styleId="34">
    <w:name w:val="普通正文"/>
    <w:basedOn w:val="1"/>
    <w:link w:val="33"/>
    <w:qFormat/>
    <w:uiPriority w:val="0"/>
    <w:pPr>
      <w:adjustRightInd w:val="0"/>
      <w:spacing w:before="120" w:after="120" w:line="360" w:lineRule="auto"/>
      <w:ind w:left="-2" w:right="120" w:firstLine="480"/>
      <w:jc w:val="center"/>
      <w:textAlignment w:val="baseline"/>
    </w:pPr>
    <w:rPr>
      <w:rFonts w:ascii="Arial" w:hAnsi="Arial"/>
      <w:kern w:val="0"/>
      <w:sz w:val="24"/>
      <w:szCs w:val="24"/>
    </w:rPr>
  </w:style>
  <w:style w:type="paragraph" w:styleId="3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39</Pages>
  <Words>22136</Words>
  <Characters>22874</Characters>
  <Lines>175</Lines>
  <Paragraphs>49</Paragraphs>
  <TotalTime>6</TotalTime>
  <ScaleCrop>false</ScaleCrop>
  <LinksUpToDate>false</LinksUpToDate>
  <CharactersWithSpaces>22991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2022-06-28T09:31:00Z</dcterms:created>
  <dc:creator>Administrator</dc:creator>
  <cp:lastModifiedBy>小白</cp:lastModifiedBy>
  <dcterms:modified xsi:type="dcterms:W3CDTF">2022-07-01T08:23:55Z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62732253F7FA4E88A943D087CB87FAA5</vt:lpwstr>
  </property>
</Properties>
</file>