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DC" w:rsidRPr="00CF2DDC" w:rsidRDefault="00CF2DDC" w:rsidP="00CF2DDC">
      <w:pPr>
        <w:keepNext/>
        <w:keepLines/>
        <w:spacing w:line="360" w:lineRule="auto"/>
        <w:outlineLvl w:val="1"/>
        <w:rPr>
          <w:rFonts w:ascii="Calibri Light" w:eastAsia="宋体" w:hAnsi="Calibri Light" w:cs="Times New Roman"/>
          <w:b/>
          <w:bCs/>
          <w:sz w:val="36"/>
          <w:szCs w:val="36"/>
        </w:rPr>
      </w:pPr>
      <w:r w:rsidRPr="00CF2DDC">
        <w:rPr>
          <w:rFonts w:ascii="Calibri Light" w:eastAsia="宋体" w:hAnsi="Calibri Light" w:cs="Times New Roman" w:hint="eastAsia"/>
          <w:b/>
          <w:bCs/>
          <w:sz w:val="36"/>
          <w:szCs w:val="36"/>
        </w:rPr>
        <w:t>功能模块</w:t>
      </w:r>
      <w:r w:rsidRPr="00CF2DDC">
        <w:rPr>
          <w:rFonts w:ascii="Calibri Light" w:eastAsia="宋体" w:hAnsi="Calibri Light" w:cs="Times New Roman"/>
          <w:b/>
          <w:bCs/>
          <w:sz w:val="36"/>
          <w:szCs w:val="36"/>
        </w:rPr>
        <w:t>：</w:t>
      </w:r>
    </w:p>
    <w:p w:rsidR="00CF2DDC" w:rsidRPr="00CF2DDC" w:rsidRDefault="00CF2DDC" w:rsidP="00CF2DDC">
      <w:pPr>
        <w:keepNext/>
        <w:keepLines/>
        <w:spacing w:line="360" w:lineRule="auto"/>
        <w:outlineLvl w:val="1"/>
        <w:rPr>
          <w:rFonts w:ascii="Calibri Light" w:eastAsia="宋体" w:hAnsi="Calibri Light" w:cs="Times New Roman"/>
          <w:b/>
          <w:bCs/>
          <w:sz w:val="28"/>
          <w:szCs w:val="28"/>
        </w:rPr>
      </w:pPr>
      <w:r w:rsidRPr="00CF2DDC">
        <w:rPr>
          <w:rFonts w:ascii="Calibri Light" w:eastAsia="宋体" w:hAnsi="Calibri Light" w:cs="Times New Roman" w:hint="eastAsia"/>
          <w:b/>
          <w:bCs/>
          <w:sz w:val="28"/>
          <w:szCs w:val="28"/>
        </w:rPr>
        <w:t>一</w:t>
      </w:r>
      <w:r w:rsidRPr="00CF2DDC">
        <w:rPr>
          <w:rFonts w:ascii="Calibri Light" w:eastAsia="宋体" w:hAnsi="Calibri Light" w:cs="Times New Roman"/>
          <w:b/>
          <w:bCs/>
          <w:sz w:val="28"/>
          <w:szCs w:val="28"/>
        </w:rPr>
        <w:t>、</w:t>
      </w:r>
      <w:r w:rsidRPr="00CF2DDC">
        <w:rPr>
          <w:rFonts w:ascii="Calibri Light" w:eastAsia="宋体" w:hAnsi="Calibri Light" w:cs="Times New Roman" w:hint="eastAsia"/>
          <w:b/>
          <w:bCs/>
          <w:sz w:val="28"/>
          <w:szCs w:val="28"/>
        </w:rPr>
        <w:t>病理图文报告软件</w:t>
      </w:r>
    </w:p>
    <w:p w:rsidR="00CF2DDC" w:rsidRPr="00CF2DDC" w:rsidRDefault="00CF2DDC" w:rsidP="00CF2DDC">
      <w:pPr>
        <w:spacing w:line="360" w:lineRule="auto"/>
        <w:ind w:left="420"/>
        <w:rPr>
          <w:rFonts w:ascii="宋体" w:eastAsia="宋体" w:hAnsi="宋体" w:cs="Arial"/>
          <w:b/>
          <w:bCs/>
          <w:kern w:val="0"/>
          <w:sz w:val="24"/>
          <w:szCs w:val="24"/>
        </w:rPr>
      </w:pPr>
      <w:r w:rsidRPr="00CF2DDC">
        <w:rPr>
          <w:rFonts w:ascii="宋体" w:eastAsia="宋体" w:hAnsi="宋体" w:cs="Times New Roman" w:hint="eastAsia"/>
          <w:sz w:val="24"/>
          <w:szCs w:val="24"/>
        </w:rPr>
        <w:t>1)用户登陆系统后，自动分类显示最近病例信息，显示病例状态，统计病例总数；</w:t>
      </w:r>
    </w:p>
    <w:p w:rsidR="00CF2DDC" w:rsidRPr="00CF2DDC" w:rsidRDefault="00CF2DDC" w:rsidP="00CF2DDC">
      <w:pPr>
        <w:spacing w:line="360" w:lineRule="auto"/>
        <w:ind w:left="420"/>
        <w:rPr>
          <w:rFonts w:ascii="宋体" w:eastAsia="宋体" w:hAnsi="宋体" w:cs="Times New Roman"/>
          <w:sz w:val="24"/>
          <w:szCs w:val="24"/>
        </w:rPr>
      </w:pPr>
      <w:r w:rsidRPr="00CF2DDC">
        <w:rPr>
          <w:rFonts w:ascii="宋体" w:eastAsia="宋体" w:hAnsi="宋体" w:cs="Times New Roman" w:hint="eastAsia"/>
          <w:sz w:val="24"/>
          <w:szCs w:val="24"/>
        </w:rPr>
        <w:t>2)简单操作，可切换未打印、未审核、未诊断、未采图等不同状态病例列表；</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3)既往病例自动提醒，显示当前病人做过的其他检查资料，任意检查项目都可查看图片和诊断结论，如查看细胞学、冰冻快速、分子检测等。</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4)查看病例的基本信息、临床诊断信息、肉眼所见、取材明细表等内容，录入镜下所见、病理诊断等诊断报告项目。</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5)高清数码成像系统，无缝连接三目、双目显微镜，无需对显微镜做任何改装，即可实现图像捕获，图片数量不限制；</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6）系统根据当前标本情况，自动在现有病例库中检索相似病例，可查看肉眼所见、病理诊断等信息，为医师诊断提供参考。</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7）参考国际病理学家协会专家建议，对描述词库进行“采集技术分类”，针对“手术切除类标本和活检类标本”进行标准报告词库模版分类，方便医师选择使用。</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8）提供内容丰富、分类明确的词库模板，常用的病理诊断、镜下所见术语，提高报告文字输入效率，支持下拉菜单、右侧词库、快捷按钮等多种输入方式。</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9）根据不同的图片张数，报告系统智能匹配模板，支持用户自定义报告模板，预览时可实时调节打印字体。</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10）报告打印完成后，提供自动审核、发布等配置选项，也可以使用定时审核、发布功能，用户可配置报告发布内容，支持批量发布。</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11）支持发布技术医嘱，可选择一个或多个蜡块重切、深切、补取等申请下发，同时发送消息提醒技术工作站，可随时查看医嘱执行状态，医嘱执行完成后，自动提醒下发技术医嘱医师。</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12)特检医嘱：支持下发免疫组化，电镜、</w:t>
      </w:r>
      <w:r w:rsidRPr="00CF2DDC">
        <w:rPr>
          <w:rFonts w:ascii="宋体" w:eastAsia="宋体" w:hAnsi="宋体" w:cs="Times New Roman"/>
          <w:sz w:val="24"/>
          <w:szCs w:val="24"/>
        </w:rPr>
        <w:t>fish</w:t>
      </w:r>
      <w:r w:rsidRPr="00CF2DDC">
        <w:rPr>
          <w:rFonts w:ascii="宋体" w:eastAsia="宋体" w:hAnsi="宋体" w:cs="Times New Roman" w:hint="eastAsia"/>
          <w:sz w:val="24"/>
          <w:szCs w:val="24"/>
        </w:rPr>
        <w:t>等各种特检医嘱，特检医嘱下发后，系统自动发送消息提醒相关人员。可打印特检申请单，补打特检申请单，创建特检检查报告。免疫组化项目支持标记物套餐，支持结果直接插入报告。可查询特检医嘱的执行情况和结果。</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lastRenderedPageBreak/>
        <w:t>13)临床医嘱：临床和住院医师可以通过病人医嘱查询报告状态，延期原因，打印延期报告单，为门诊患者提供便利。</w:t>
      </w:r>
    </w:p>
    <w:p w:rsidR="00CF2DDC" w:rsidRPr="00CF2DDC" w:rsidRDefault="00CF2DDC" w:rsidP="00CF2DDC">
      <w:pPr>
        <w:spacing w:line="360" w:lineRule="auto"/>
        <w:ind w:firstLineChars="150" w:firstLine="360"/>
        <w:rPr>
          <w:rFonts w:ascii="宋体" w:eastAsia="宋体" w:hAnsi="宋体" w:cs="Times New Roman"/>
          <w:sz w:val="24"/>
          <w:szCs w:val="24"/>
        </w:rPr>
      </w:pPr>
      <w:r w:rsidRPr="00CF2DDC">
        <w:rPr>
          <w:rFonts w:ascii="宋体" w:eastAsia="宋体" w:hAnsi="宋体" w:cs="Times New Roman" w:hint="eastAsia"/>
          <w:sz w:val="24"/>
          <w:szCs w:val="24"/>
        </w:rPr>
        <w:t>14)质量控制：可以对制片、录入、临床诊断、初次诊断、冰冻诊断符合情况等进行评价，生成质量控制表单。提供多种符合率统计报表，包括冰冻诊断符合率、临床诊断符合率、会诊符合率等。多种工作量统计报表，包括医师工作量、制片工作量、科室工作量、特检医嘱工作量、送检工作量、外院送检工作量等。</w:t>
      </w:r>
    </w:p>
    <w:p w:rsidR="00CF2DDC" w:rsidRPr="00CF2DDC" w:rsidRDefault="00CF2DDC" w:rsidP="00CF2DDC">
      <w:pPr>
        <w:spacing w:line="360" w:lineRule="auto"/>
        <w:ind w:left="420"/>
        <w:rPr>
          <w:rFonts w:ascii="宋体" w:eastAsia="宋体" w:hAnsi="宋体" w:cs="Times New Roman"/>
          <w:sz w:val="24"/>
          <w:szCs w:val="24"/>
        </w:rPr>
      </w:pPr>
      <w:r w:rsidRPr="00CF2DDC">
        <w:rPr>
          <w:rFonts w:ascii="宋体" w:eastAsia="宋体" w:hAnsi="宋体" w:cs="Times New Roman" w:hint="eastAsia"/>
          <w:sz w:val="24"/>
          <w:szCs w:val="24"/>
        </w:rPr>
        <w:t>15)提供数据回收站管理功能，病例数据修改留痕，修改自动锁定病例，防止误操作引起的数据丢失。</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16)申请单打印：可将诊断和肉眼所见内容直接打印到申请单上，取材明细表，选择打印，节省用户抄录时间，打印后诊断医师签字确认。</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17)数据检索：支持快捷查询，所有项目支持模糊查询，可实现多级模糊查询，实时显示报告当前所处的状态、不同状态报告分颜色显示。查询记录可进行以下操作：</w:t>
      </w:r>
      <w:r w:rsidRPr="00CF2DDC">
        <w:rPr>
          <w:rFonts w:ascii="宋体" w:eastAsia="宋体" w:hAnsi="宋体" w:cs="Times New Roman"/>
          <w:sz w:val="24"/>
          <w:szCs w:val="24"/>
        </w:rPr>
        <w:t>EXCEL</w:t>
      </w:r>
      <w:r w:rsidRPr="00CF2DDC">
        <w:rPr>
          <w:rFonts w:ascii="宋体" w:eastAsia="宋体" w:hAnsi="宋体" w:cs="Times New Roman" w:hint="eastAsia"/>
          <w:sz w:val="24"/>
          <w:szCs w:val="24"/>
        </w:rPr>
        <w:t>导出、</w:t>
      </w:r>
      <w:r w:rsidRPr="00CF2DDC">
        <w:rPr>
          <w:rFonts w:ascii="宋体" w:eastAsia="宋体" w:hAnsi="宋体" w:cs="Times New Roman"/>
          <w:sz w:val="24"/>
          <w:szCs w:val="24"/>
        </w:rPr>
        <w:t>WORD</w:t>
      </w:r>
      <w:r w:rsidRPr="00CF2DDC">
        <w:rPr>
          <w:rFonts w:ascii="宋体" w:eastAsia="宋体" w:hAnsi="宋体" w:cs="Times New Roman" w:hint="eastAsia"/>
          <w:sz w:val="24"/>
          <w:szCs w:val="24"/>
        </w:rPr>
        <w:t>导出、电子病历导出、报告批量打印。</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18)图片操作：提供灵活图片操作方式，鼠标单击选择打印图片，并可修改打印顺序，选择的打印的图片自动向前排列。支持图片批量添加、导出和删除，支持在病例间直接进行图片的复制粘贴。</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19)图片处理：可对采集的图片可进行文字、箭头、范围等方式进行标注，支持定标、测量、以及常用图片后处理功能，如：</w:t>
      </w:r>
      <w:r w:rsidRPr="00CF2DDC">
        <w:rPr>
          <w:rFonts w:ascii="宋体" w:eastAsia="宋体" w:hAnsi="宋体" w:cs="Times New Roman"/>
          <w:sz w:val="24"/>
          <w:szCs w:val="24"/>
        </w:rPr>
        <w:t>RBG</w:t>
      </w:r>
      <w:r w:rsidRPr="00CF2DDC">
        <w:rPr>
          <w:rFonts w:ascii="宋体" w:eastAsia="宋体" w:hAnsi="宋体" w:cs="Times New Roman" w:hint="eastAsia"/>
          <w:sz w:val="24"/>
          <w:szCs w:val="24"/>
        </w:rPr>
        <w:t>、亮度、饱和度、图像旋转等。</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20)图片高级处理：提供专业的形态学分析软件，支持几何形态定量分析、</w:t>
      </w:r>
      <w:r w:rsidRPr="00CF2DDC">
        <w:rPr>
          <w:rFonts w:ascii="宋体" w:eastAsia="宋体" w:hAnsi="宋体" w:cs="Times New Roman"/>
          <w:sz w:val="24"/>
          <w:szCs w:val="24"/>
        </w:rPr>
        <w:t>DNA</w:t>
      </w:r>
      <w:r w:rsidRPr="00CF2DDC">
        <w:rPr>
          <w:rFonts w:ascii="宋体" w:eastAsia="宋体" w:hAnsi="宋体" w:cs="Times New Roman" w:hint="eastAsia"/>
          <w:sz w:val="24"/>
          <w:szCs w:val="24"/>
        </w:rPr>
        <w:t>倍体分析、</w:t>
      </w:r>
      <w:r w:rsidRPr="00CF2DDC">
        <w:rPr>
          <w:rFonts w:ascii="宋体" w:eastAsia="宋体" w:hAnsi="宋体" w:cs="Times New Roman"/>
          <w:sz w:val="24"/>
          <w:szCs w:val="24"/>
        </w:rPr>
        <w:t>AGNOR</w:t>
      </w:r>
      <w:r w:rsidRPr="00CF2DDC">
        <w:rPr>
          <w:rFonts w:ascii="宋体" w:eastAsia="宋体" w:hAnsi="宋体" w:cs="Times New Roman" w:hint="eastAsia"/>
          <w:sz w:val="24"/>
          <w:szCs w:val="24"/>
        </w:rPr>
        <w:t>分析、免疫组化、分子杂交分析等功能。</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21)会诊示教：基于计算机屏幕以及显微镜画面的实时动态共享浏览，各医师之间可以实时观察对方显微镜下图像，支持鼠标指针、语音、文字标注等交流方式。</w:t>
      </w:r>
    </w:p>
    <w:p w:rsidR="00CF2DDC" w:rsidRPr="00CF2DDC" w:rsidRDefault="00CF2DDC" w:rsidP="00CF2DDC">
      <w:pPr>
        <w:spacing w:line="360" w:lineRule="auto"/>
        <w:ind w:firstLineChars="200" w:firstLine="480"/>
        <w:rPr>
          <w:rFonts w:ascii="宋体" w:eastAsia="宋体" w:hAnsi="宋体" w:cs="Times New Roman"/>
          <w:sz w:val="24"/>
          <w:szCs w:val="24"/>
        </w:rPr>
      </w:pPr>
      <w:r w:rsidRPr="00CF2DDC">
        <w:rPr>
          <w:rFonts w:ascii="宋体" w:eastAsia="宋体" w:hAnsi="宋体" w:cs="Times New Roman" w:hint="eastAsia"/>
          <w:sz w:val="24"/>
          <w:szCs w:val="24"/>
        </w:rPr>
        <w:t>22)典型病例：可以将感兴趣的病例直接添加为典型病例，分为个人和科室典型病理，典型病例可记录随访结果，方便用户直接对病例做出评论，可分类管理，不影响病例的原始资料。</w:t>
      </w:r>
    </w:p>
    <w:p w:rsidR="00CF2DDC" w:rsidRPr="00CF2DDC" w:rsidRDefault="00CF2DDC" w:rsidP="00CF2DDC">
      <w:pPr>
        <w:spacing w:line="360" w:lineRule="auto"/>
        <w:ind w:firstLineChars="150" w:firstLine="360"/>
        <w:rPr>
          <w:rFonts w:ascii="宋体" w:eastAsia="宋体" w:hAnsi="宋体" w:cs="Times New Roman"/>
          <w:sz w:val="24"/>
          <w:szCs w:val="24"/>
        </w:rPr>
      </w:pPr>
      <w:r w:rsidRPr="00CF2DDC">
        <w:rPr>
          <w:rFonts w:ascii="宋体" w:eastAsia="宋体" w:hAnsi="宋体" w:cs="Times New Roman" w:hint="eastAsia"/>
          <w:sz w:val="24"/>
          <w:szCs w:val="24"/>
        </w:rPr>
        <w:t>23)病例复制：可以直接复制相似病例生成新病例，提高报告编写速度。</w:t>
      </w:r>
    </w:p>
    <w:p w:rsidR="00CF2DDC" w:rsidRPr="00CF2DDC" w:rsidRDefault="00CF2DDC" w:rsidP="00CF2DDC">
      <w:pPr>
        <w:spacing w:line="360" w:lineRule="auto"/>
        <w:ind w:firstLineChars="150" w:firstLine="360"/>
        <w:rPr>
          <w:rFonts w:ascii="宋体" w:eastAsia="宋体" w:hAnsi="宋体" w:cs="Times New Roman"/>
          <w:sz w:val="24"/>
          <w:szCs w:val="24"/>
        </w:rPr>
      </w:pPr>
      <w:r w:rsidRPr="00CF2DDC">
        <w:rPr>
          <w:rFonts w:ascii="宋体" w:eastAsia="宋体" w:hAnsi="宋体" w:cs="Times New Roman" w:hint="eastAsia"/>
          <w:sz w:val="24"/>
          <w:szCs w:val="24"/>
        </w:rPr>
        <w:t>24)定向复片：系统根据排版表自动加载复片医师，初诊医师额也可以选择复</w:t>
      </w:r>
      <w:r w:rsidRPr="00CF2DDC">
        <w:rPr>
          <w:rFonts w:ascii="宋体" w:eastAsia="宋体" w:hAnsi="宋体" w:cs="Times New Roman" w:hint="eastAsia"/>
          <w:sz w:val="24"/>
          <w:szCs w:val="24"/>
        </w:rPr>
        <w:lastRenderedPageBreak/>
        <w:t>片医师。可以统计复片医师的阅片数和复片病例数。</w:t>
      </w:r>
    </w:p>
    <w:p w:rsidR="00CF2DDC" w:rsidRDefault="00CF2DDC" w:rsidP="00CF2DDC">
      <w:pPr>
        <w:spacing w:line="360" w:lineRule="auto"/>
        <w:ind w:firstLineChars="150" w:firstLine="360"/>
        <w:rPr>
          <w:rFonts w:ascii="宋体" w:eastAsia="宋体" w:hAnsi="宋体" w:cs="Times New Roman"/>
          <w:sz w:val="24"/>
          <w:szCs w:val="24"/>
        </w:rPr>
      </w:pPr>
      <w:r w:rsidRPr="00CF2DDC">
        <w:rPr>
          <w:rFonts w:ascii="宋体" w:eastAsia="宋体" w:hAnsi="宋体" w:cs="Times New Roman" w:hint="eastAsia"/>
          <w:sz w:val="24"/>
          <w:szCs w:val="24"/>
        </w:rPr>
        <w:t>25)病例随访：可对疑难或特殊病例进行追踪管理，医师设置病例的随访日期后，系统自动提醒，医师可记录随访结果。</w:t>
      </w:r>
      <w:bookmarkStart w:id="0" w:name="_Toc99783534"/>
    </w:p>
    <w:p w:rsidR="00CF2DDC" w:rsidRPr="00CF2DDC" w:rsidRDefault="00CF2DDC" w:rsidP="00CF2DDC">
      <w:pPr>
        <w:spacing w:line="360" w:lineRule="auto"/>
        <w:ind w:firstLineChars="150" w:firstLine="360"/>
        <w:rPr>
          <w:rFonts w:ascii="宋体" w:eastAsia="宋体" w:hAnsi="宋体" w:cs="Times New Roman"/>
          <w:sz w:val="24"/>
          <w:szCs w:val="24"/>
        </w:rPr>
      </w:pPr>
    </w:p>
    <w:p w:rsidR="00CF2DDC" w:rsidRPr="00CF2DDC" w:rsidRDefault="00CF2DDC" w:rsidP="00CF2DDC">
      <w:pPr>
        <w:keepNext/>
        <w:keepLines/>
        <w:spacing w:line="360" w:lineRule="auto"/>
        <w:outlineLvl w:val="1"/>
        <w:rPr>
          <w:rFonts w:ascii="Calibri Light" w:eastAsia="宋体" w:hAnsi="Calibri Light" w:cs="Times New Roman"/>
          <w:b/>
          <w:bCs/>
          <w:sz w:val="28"/>
          <w:szCs w:val="28"/>
        </w:rPr>
      </w:pPr>
      <w:r w:rsidRPr="00CF2DDC">
        <w:rPr>
          <w:rFonts w:ascii="Calibri Light" w:eastAsia="宋体" w:hAnsi="Calibri Light" w:cs="Times New Roman" w:hint="eastAsia"/>
          <w:b/>
          <w:bCs/>
          <w:sz w:val="28"/>
          <w:szCs w:val="28"/>
        </w:rPr>
        <w:t>二、独立电子申请</w:t>
      </w:r>
      <w:bookmarkEnd w:id="0"/>
    </w:p>
    <w:p w:rsidR="00CF2DDC" w:rsidRPr="00CF2DDC" w:rsidRDefault="00CF2DDC" w:rsidP="00CF2DDC">
      <w:pPr>
        <w:widowControl/>
        <w:spacing w:line="360" w:lineRule="auto"/>
        <w:rPr>
          <w:rFonts w:ascii="宋体" w:eastAsia="宋体" w:hAnsi="宋体" w:cs="Times New Roman"/>
          <w:b/>
          <w:sz w:val="24"/>
          <w:szCs w:val="24"/>
        </w:rPr>
      </w:pPr>
      <w:r w:rsidRPr="00CF2DDC">
        <w:rPr>
          <w:rFonts w:ascii="宋体" w:eastAsia="宋体" w:hAnsi="宋体" w:cs="Times New Roman" w:hint="eastAsia"/>
          <w:b/>
          <w:sz w:val="24"/>
          <w:szCs w:val="24"/>
        </w:rPr>
        <w:t>1）皮肤科治疗室</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1、提供独非接口方式的皮肤检查电子申请程序系统。</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2、支持嵌入式启动电子申请启动。比如在门诊/临床医生工作站程序界面点击相应按钮后自动弹出系统界面。</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3、支持临床诊断，患者病史，手术名称及手术所见等作为必填项才能保存发下电子申请。</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4、配备打印交接清单功能，支持双向签字确认。</w:t>
      </w:r>
    </w:p>
    <w:p w:rsidR="00CF2DDC" w:rsidRPr="00CF2DDC" w:rsidRDefault="00CF2DDC" w:rsidP="00CF2DDC">
      <w:pPr>
        <w:widowControl/>
        <w:spacing w:line="360" w:lineRule="auto"/>
        <w:rPr>
          <w:rFonts w:ascii="宋体" w:eastAsia="宋体" w:hAnsi="宋体" w:cs="Times New Roman"/>
          <w:b/>
          <w:sz w:val="24"/>
          <w:szCs w:val="24"/>
        </w:rPr>
      </w:pPr>
      <w:r w:rsidRPr="00CF2DDC">
        <w:rPr>
          <w:rFonts w:ascii="宋体" w:eastAsia="宋体" w:hAnsi="宋体" w:cs="Times New Roman" w:hint="eastAsia"/>
          <w:b/>
          <w:sz w:val="24"/>
          <w:szCs w:val="24"/>
        </w:rPr>
        <w:t>2）皮肤科手术室</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1、提供独非接口方式的皮肤检查电子申请程序系统。</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2、支持嵌入式启动电子申请启动。比如在门诊/临床医生工作站程序界面点击相应按钮后自动弹出系统界面。</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3、支持临床诊断，患者病史，手术名称及手术所见等作为必填项才能保存发下电子申请。</w:t>
      </w:r>
    </w:p>
    <w:p w:rsidR="00CF2DDC" w:rsidRPr="00CF2DDC" w:rsidRDefault="00CF2DDC" w:rsidP="00CF2DDC">
      <w:pPr>
        <w:widowControl/>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4、配备打印交接清单功能，支持双向签字确认。</w:t>
      </w:r>
    </w:p>
    <w:p w:rsidR="00CF2DDC" w:rsidRPr="00CF2DDC" w:rsidRDefault="00CF2DDC" w:rsidP="00CF2DDC">
      <w:pPr>
        <w:spacing w:line="360" w:lineRule="auto"/>
        <w:rPr>
          <w:rFonts w:ascii="宋体" w:eastAsia="宋体" w:hAnsi="宋体" w:cs="Times New Roman"/>
          <w:sz w:val="24"/>
          <w:szCs w:val="24"/>
        </w:rPr>
      </w:pPr>
      <w:r w:rsidRPr="00CF2DDC">
        <w:rPr>
          <w:rFonts w:ascii="宋体" w:eastAsia="宋体" w:hAnsi="宋体" w:cs="Times New Roman" w:hint="eastAsia"/>
          <w:sz w:val="24"/>
          <w:szCs w:val="24"/>
        </w:rPr>
        <w:t>5、提供传染病标本申请送检提示标记。</w:t>
      </w:r>
    </w:p>
    <w:p w:rsidR="00CF2DDC" w:rsidRPr="00CF2DDC" w:rsidRDefault="00CF2DDC" w:rsidP="00CF2DDC">
      <w:pPr>
        <w:spacing w:line="360" w:lineRule="auto"/>
        <w:rPr>
          <w:rFonts w:ascii="宋体" w:eastAsia="宋体" w:hAnsi="宋体" w:cs="Times New Roman"/>
          <w:sz w:val="24"/>
          <w:szCs w:val="24"/>
        </w:rPr>
      </w:pPr>
    </w:p>
    <w:p w:rsidR="00CF2DDC" w:rsidRPr="00CF2DDC" w:rsidRDefault="00CF2DDC" w:rsidP="00CF2DDC">
      <w:pPr>
        <w:keepNext/>
        <w:keepLines/>
        <w:spacing w:line="360" w:lineRule="auto"/>
        <w:outlineLvl w:val="1"/>
        <w:rPr>
          <w:rFonts w:ascii="Calibri Light" w:eastAsia="宋体" w:hAnsi="Calibri Light" w:cs="Times New Roman"/>
          <w:b/>
          <w:bCs/>
          <w:sz w:val="28"/>
          <w:szCs w:val="28"/>
        </w:rPr>
      </w:pPr>
      <w:bookmarkStart w:id="1" w:name="_Toc99783535"/>
      <w:r w:rsidRPr="00CF2DDC">
        <w:rPr>
          <w:rFonts w:ascii="Calibri Light" w:eastAsia="宋体" w:hAnsi="Calibri Light" w:cs="Times New Roman" w:hint="eastAsia"/>
          <w:b/>
          <w:bCs/>
          <w:sz w:val="28"/>
          <w:szCs w:val="28"/>
        </w:rPr>
        <w:t>三、病理信息系统定制改造</w:t>
      </w:r>
      <w:bookmarkEnd w:id="1"/>
    </w:p>
    <w:p w:rsidR="00E32C2B" w:rsidRDefault="00CF2DDC" w:rsidP="00CF2DDC">
      <w:pPr>
        <w:spacing w:line="360" w:lineRule="auto"/>
        <w:rPr>
          <w:rFonts w:ascii="仿宋_GB2312" w:eastAsia="宋体" w:hAnsi="宋体" w:cs="Times New Roman"/>
          <w:sz w:val="24"/>
          <w:szCs w:val="24"/>
        </w:rPr>
      </w:pPr>
      <w:r w:rsidRPr="00CF2DDC">
        <w:rPr>
          <w:rFonts w:ascii="仿宋_GB2312" w:eastAsia="宋体" w:hAnsi="宋体" w:cs="Times New Roman" w:hint="eastAsia"/>
          <w:sz w:val="24"/>
          <w:szCs w:val="24"/>
        </w:rPr>
        <w:t>通过现场调研勘查，需求收集，以定制化的模式将病理科诊断摩模块和皮肤科的病理系统进行定制开发，以满足病理科和皮肤科的诊断需求以及分别质控、统计等需求。</w:t>
      </w:r>
    </w:p>
    <w:p w:rsidR="00F32856" w:rsidRDefault="00F32856">
      <w:pPr>
        <w:widowControl/>
        <w:jc w:val="left"/>
        <w:rPr>
          <w:rFonts w:ascii="仿宋_GB2312" w:eastAsia="宋体" w:hAnsi="宋体" w:cs="Times New Roman"/>
          <w:sz w:val="24"/>
          <w:szCs w:val="24"/>
        </w:rPr>
      </w:pPr>
      <w:r>
        <w:rPr>
          <w:rFonts w:ascii="仿宋_GB2312" w:eastAsia="宋体" w:hAnsi="宋体" w:cs="Times New Roman"/>
          <w:sz w:val="24"/>
          <w:szCs w:val="24"/>
        </w:rPr>
        <w:br w:type="page"/>
      </w:r>
    </w:p>
    <w:p w:rsidR="00F32856" w:rsidRDefault="00F32856" w:rsidP="00F32856">
      <w:pPr>
        <w:keepNext/>
        <w:keepLines/>
        <w:spacing w:line="360" w:lineRule="auto"/>
        <w:outlineLvl w:val="1"/>
        <w:rPr>
          <w:rFonts w:ascii="Calibri Light" w:eastAsia="宋体" w:hAnsi="Calibri Light" w:cs="Times New Roman"/>
          <w:b/>
          <w:bCs/>
          <w:sz w:val="28"/>
          <w:szCs w:val="28"/>
        </w:rPr>
      </w:pPr>
      <w:r w:rsidRPr="00F32856">
        <w:rPr>
          <w:rFonts w:ascii="Calibri Light" w:eastAsia="宋体" w:hAnsi="Calibri Light" w:cs="Times New Roman" w:hint="eastAsia"/>
          <w:b/>
          <w:bCs/>
          <w:sz w:val="28"/>
          <w:szCs w:val="28"/>
        </w:rPr>
        <w:lastRenderedPageBreak/>
        <w:t>四</w:t>
      </w:r>
      <w:r w:rsidRPr="00F32856">
        <w:rPr>
          <w:rFonts w:ascii="Calibri Light" w:eastAsia="宋体" w:hAnsi="Calibri Light" w:cs="Times New Roman"/>
          <w:b/>
          <w:bCs/>
          <w:sz w:val="28"/>
          <w:szCs w:val="28"/>
        </w:rPr>
        <w:t>、</w:t>
      </w:r>
      <w:r w:rsidRPr="00F32856">
        <w:rPr>
          <w:rFonts w:ascii="Calibri Light" w:eastAsia="宋体" w:hAnsi="Calibri Light" w:cs="Times New Roman" w:hint="eastAsia"/>
          <w:b/>
          <w:bCs/>
          <w:sz w:val="28"/>
          <w:szCs w:val="28"/>
        </w:rPr>
        <w:t>采购</w:t>
      </w:r>
      <w:r w:rsidRPr="00F32856">
        <w:rPr>
          <w:rFonts w:ascii="Calibri Light" w:eastAsia="宋体" w:hAnsi="Calibri Light" w:cs="Times New Roman"/>
          <w:b/>
          <w:bCs/>
          <w:sz w:val="28"/>
          <w:szCs w:val="28"/>
        </w:rPr>
        <w:t>预算</w:t>
      </w:r>
    </w:p>
    <w:tbl>
      <w:tblPr>
        <w:tblStyle w:val="a7"/>
        <w:tblW w:w="0" w:type="auto"/>
        <w:tblLook w:val="04A0" w:firstRow="1" w:lastRow="0" w:firstColumn="1" w:lastColumn="0" w:noHBand="0" w:noVBand="1"/>
      </w:tblPr>
      <w:tblGrid>
        <w:gridCol w:w="1344"/>
        <w:gridCol w:w="3145"/>
        <w:gridCol w:w="1733"/>
        <w:gridCol w:w="2074"/>
      </w:tblGrid>
      <w:tr w:rsidR="00F32856" w:rsidRPr="00410B51" w:rsidTr="000D6667">
        <w:tc>
          <w:tcPr>
            <w:tcW w:w="1374"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序号</w:t>
            </w:r>
          </w:p>
        </w:tc>
        <w:tc>
          <w:tcPr>
            <w:tcW w:w="3240"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系统名称</w:t>
            </w:r>
          </w:p>
        </w:tc>
        <w:tc>
          <w:tcPr>
            <w:tcW w:w="1777"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数量</w:t>
            </w:r>
          </w:p>
        </w:tc>
        <w:tc>
          <w:tcPr>
            <w:tcW w:w="2131"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采购预算</w:t>
            </w:r>
          </w:p>
        </w:tc>
      </w:tr>
      <w:tr w:rsidR="00F32856" w:rsidRPr="00410B51" w:rsidTr="000D6667">
        <w:tc>
          <w:tcPr>
            <w:tcW w:w="1374"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1</w:t>
            </w:r>
          </w:p>
        </w:tc>
        <w:tc>
          <w:tcPr>
            <w:tcW w:w="3240" w:type="dxa"/>
          </w:tcPr>
          <w:p w:rsidR="00F32856" w:rsidRPr="00410B51" w:rsidRDefault="00387C35" w:rsidP="000D6667">
            <w:pPr>
              <w:rPr>
                <w:rFonts w:ascii="仿宋" w:eastAsia="仿宋" w:hAnsi="仿宋" w:cs="仿宋"/>
                <w:sz w:val="28"/>
                <w:szCs w:val="28"/>
              </w:rPr>
            </w:pPr>
            <w:r w:rsidRPr="00387C35">
              <w:rPr>
                <w:rFonts w:ascii="仿宋" w:eastAsia="仿宋" w:hAnsi="仿宋" w:cs="仿宋" w:hint="eastAsia"/>
                <w:sz w:val="28"/>
                <w:szCs w:val="28"/>
              </w:rPr>
              <w:t>病理系统皮肤科模块</w:t>
            </w:r>
          </w:p>
        </w:tc>
        <w:tc>
          <w:tcPr>
            <w:tcW w:w="1777" w:type="dxa"/>
          </w:tcPr>
          <w:p w:rsidR="00F32856" w:rsidRPr="00410B51" w:rsidRDefault="00F32856" w:rsidP="000D6667">
            <w:pPr>
              <w:rPr>
                <w:rFonts w:ascii="仿宋" w:eastAsia="仿宋" w:hAnsi="仿宋" w:cs="仿宋"/>
                <w:sz w:val="28"/>
                <w:szCs w:val="28"/>
              </w:rPr>
            </w:pPr>
            <w:r w:rsidRPr="00410B51">
              <w:rPr>
                <w:rFonts w:ascii="仿宋" w:eastAsia="仿宋" w:hAnsi="仿宋" w:cs="仿宋" w:hint="eastAsia"/>
                <w:sz w:val="28"/>
                <w:szCs w:val="28"/>
              </w:rPr>
              <w:t>1套</w:t>
            </w:r>
          </w:p>
        </w:tc>
        <w:tc>
          <w:tcPr>
            <w:tcW w:w="2131" w:type="dxa"/>
          </w:tcPr>
          <w:p w:rsidR="00F32856" w:rsidRPr="00410B51" w:rsidRDefault="00E918C0" w:rsidP="000D6667">
            <w:pPr>
              <w:rPr>
                <w:rFonts w:ascii="仿宋" w:eastAsia="仿宋" w:hAnsi="仿宋" w:cs="仿宋"/>
                <w:sz w:val="28"/>
                <w:szCs w:val="28"/>
              </w:rPr>
            </w:pPr>
            <w:r>
              <w:rPr>
                <w:rFonts w:ascii="仿宋" w:eastAsia="仿宋" w:hAnsi="仿宋" w:cs="仿宋"/>
                <w:sz w:val="28"/>
                <w:szCs w:val="28"/>
              </w:rPr>
              <w:t>14</w:t>
            </w:r>
            <w:bookmarkStart w:id="2" w:name="_GoBack"/>
            <w:bookmarkEnd w:id="2"/>
            <w:r w:rsidR="00F32856" w:rsidRPr="00410B51">
              <w:rPr>
                <w:rFonts w:ascii="仿宋" w:eastAsia="仿宋" w:hAnsi="仿宋" w:cs="仿宋" w:hint="eastAsia"/>
                <w:sz w:val="28"/>
                <w:szCs w:val="28"/>
              </w:rPr>
              <w:t>万元</w:t>
            </w:r>
          </w:p>
        </w:tc>
      </w:tr>
    </w:tbl>
    <w:p w:rsidR="00F32856" w:rsidRPr="00F32856" w:rsidRDefault="00F32856" w:rsidP="00F32856">
      <w:pPr>
        <w:keepNext/>
        <w:keepLines/>
        <w:spacing w:line="360" w:lineRule="auto"/>
        <w:outlineLvl w:val="1"/>
        <w:rPr>
          <w:rFonts w:ascii="Calibri Light" w:eastAsia="宋体" w:hAnsi="Calibri Light" w:cs="Times New Roman" w:hint="eastAsia"/>
          <w:b/>
          <w:bCs/>
          <w:sz w:val="28"/>
          <w:szCs w:val="28"/>
        </w:rPr>
      </w:pPr>
    </w:p>
    <w:sectPr w:rsidR="00F32856" w:rsidRPr="00F32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BB" w:rsidRDefault="00782EBB" w:rsidP="00CF2DDC">
      <w:r>
        <w:separator/>
      </w:r>
    </w:p>
  </w:endnote>
  <w:endnote w:type="continuationSeparator" w:id="0">
    <w:p w:rsidR="00782EBB" w:rsidRDefault="00782EBB" w:rsidP="00CF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BB" w:rsidRDefault="00782EBB" w:rsidP="00CF2DDC">
      <w:r>
        <w:separator/>
      </w:r>
    </w:p>
  </w:footnote>
  <w:footnote w:type="continuationSeparator" w:id="0">
    <w:p w:rsidR="00782EBB" w:rsidRDefault="00782EBB" w:rsidP="00CF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8D"/>
    <w:rsid w:val="00056C94"/>
    <w:rsid w:val="00387C35"/>
    <w:rsid w:val="00782EBB"/>
    <w:rsid w:val="007C52CA"/>
    <w:rsid w:val="00B348E2"/>
    <w:rsid w:val="00B7608D"/>
    <w:rsid w:val="00CF2DDC"/>
    <w:rsid w:val="00E32C2B"/>
    <w:rsid w:val="00E918C0"/>
    <w:rsid w:val="00F3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5580A"/>
  <w15:chartTrackingRefBased/>
  <w15:docId w15:val="{43906039-0F40-4643-BA9C-530256C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2DDC"/>
    <w:rPr>
      <w:sz w:val="18"/>
      <w:szCs w:val="18"/>
    </w:rPr>
  </w:style>
  <w:style w:type="paragraph" w:styleId="a5">
    <w:name w:val="footer"/>
    <w:basedOn w:val="a"/>
    <w:link w:val="a6"/>
    <w:uiPriority w:val="99"/>
    <w:unhideWhenUsed/>
    <w:rsid w:val="00CF2DDC"/>
    <w:pPr>
      <w:tabs>
        <w:tab w:val="center" w:pos="4153"/>
        <w:tab w:val="right" w:pos="8306"/>
      </w:tabs>
      <w:snapToGrid w:val="0"/>
      <w:jc w:val="left"/>
    </w:pPr>
    <w:rPr>
      <w:sz w:val="18"/>
      <w:szCs w:val="18"/>
    </w:rPr>
  </w:style>
  <w:style w:type="character" w:customStyle="1" w:styleId="a6">
    <w:name w:val="页脚 字符"/>
    <w:basedOn w:val="a0"/>
    <w:link w:val="a5"/>
    <w:uiPriority w:val="99"/>
    <w:rsid w:val="00CF2DDC"/>
    <w:rPr>
      <w:sz w:val="18"/>
      <w:szCs w:val="18"/>
    </w:rPr>
  </w:style>
  <w:style w:type="table" w:styleId="a7">
    <w:name w:val="Table Grid"/>
    <w:basedOn w:val="a1"/>
    <w:qFormat/>
    <w:rsid w:val="00F328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2022-07-30T02:58:00Z</dcterms:created>
  <dcterms:modified xsi:type="dcterms:W3CDTF">2022-08-01T00:37:00Z</dcterms:modified>
</cp:coreProperties>
</file>