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cs="Times New Roman"/>
          <w:sz w:val="44"/>
          <w:szCs w:val="44"/>
        </w:rPr>
      </w:pPr>
      <w:r>
        <w:rPr>
          <w:rFonts w:ascii="Times New Roman" w:hAnsi="Times New Roman" w:cs="Times New Roman"/>
          <w:sz w:val="44"/>
          <w:szCs w:val="44"/>
        </w:rPr>
        <w:tab/>
      </w:r>
    </w:p>
    <w:p>
      <w:pPr>
        <w:spacing w:line="600" w:lineRule="auto"/>
        <w:jc w:val="center"/>
        <w:textAlignment w:val="baseline"/>
        <w:rPr>
          <w:rFonts w:ascii="Times New Roman" w:hAnsi="Times New Roman" w:cs="Times New Roman"/>
          <w:b/>
          <w:bCs/>
          <w:sz w:val="52"/>
          <w:szCs w:val="52"/>
        </w:rPr>
      </w:pPr>
      <w:r>
        <w:rPr>
          <w:rFonts w:hint="eastAsia" w:ascii="Times New Roman" w:hAnsi="Times New Roman" w:cs="宋体"/>
          <w:b/>
          <w:bCs/>
          <w:sz w:val="48"/>
          <w:szCs w:val="48"/>
        </w:rPr>
        <w:t>南通市第三人民医院招标控制价编制及审核、工程结算审核工作咨询服务项目</w:t>
      </w:r>
    </w:p>
    <w:p>
      <w:pPr>
        <w:spacing w:line="360" w:lineRule="auto"/>
        <w:jc w:val="center"/>
        <w:textAlignment w:val="baseline"/>
        <w:rPr>
          <w:rFonts w:ascii="Times New Roman" w:hAnsi="Times New Roman" w:cs="Times New Roman"/>
          <w:b/>
          <w:bCs/>
          <w:sz w:val="56"/>
          <w:szCs w:val="56"/>
        </w:rPr>
      </w:pPr>
    </w:p>
    <w:p>
      <w:pPr>
        <w:spacing w:line="360" w:lineRule="auto"/>
        <w:jc w:val="center"/>
        <w:textAlignment w:val="baseline"/>
        <w:rPr>
          <w:rFonts w:ascii="Times New Roman" w:hAnsi="Times New Roman" w:cs="Times New Roman"/>
          <w:b/>
          <w:bCs/>
          <w:sz w:val="56"/>
          <w:szCs w:val="56"/>
        </w:rPr>
      </w:pPr>
    </w:p>
    <w:p>
      <w:pPr>
        <w:spacing w:line="360" w:lineRule="auto"/>
        <w:jc w:val="center"/>
        <w:textAlignment w:val="baseline"/>
        <w:rPr>
          <w:rFonts w:ascii="Times New Roman" w:hAnsi="Times New Roman" w:cs="Times New Roman"/>
          <w:b/>
          <w:bCs/>
          <w:sz w:val="72"/>
          <w:szCs w:val="72"/>
        </w:rPr>
      </w:pPr>
    </w:p>
    <w:p>
      <w:pPr>
        <w:spacing w:line="360" w:lineRule="auto"/>
        <w:jc w:val="center"/>
        <w:textAlignment w:val="baseline"/>
        <w:rPr>
          <w:rFonts w:ascii="Times New Roman" w:hAnsi="Times New Roman" w:cs="Times New Roman"/>
          <w:b/>
          <w:bCs/>
          <w:sz w:val="72"/>
          <w:szCs w:val="72"/>
        </w:rPr>
      </w:pPr>
      <w:r>
        <w:rPr>
          <w:rFonts w:hint="eastAsia" w:ascii="Times New Roman" w:hAnsi="Times New Roman" w:cs="宋体"/>
          <w:b/>
          <w:bCs/>
          <w:sz w:val="72"/>
          <w:szCs w:val="72"/>
        </w:rPr>
        <w:t>竞争性磋商文件</w:t>
      </w:r>
    </w:p>
    <w:p>
      <w:pPr>
        <w:spacing w:line="360" w:lineRule="auto"/>
        <w:jc w:val="center"/>
        <w:textAlignment w:val="baseline"/>
        <w:rPr>
          <w:rFonts w:ascii="Times New Roman" w:hAnsi="Times New Roman" w:cs="Times New Roman"/>
          <w:b/>
          <w:bCs/>
          <w:sz w:val="44"/>
          <w:szCs w:val="44"/>
        </w:rPr>
      </w:pPr>
      <w:r>
        <w:rPr>
          <w:rFonts w:hint="eastAsia" w:ascii="Times New Roman" w:hAnsi="Times New Roman" w:cs="宋体"/>
          <w:b/>
          <w:bCs/>
          <w:sz w:val="44"/>
          <w:szCs w:val="44"/>
        </w:rPr>
        <w:t>（资格后审）</w:t>
      </w:r>
    </w:p>
    <w:p>
      <w:pPr>
        <w:spacing w:line="360" w:lineRule="auto"/>
        <w:jc w:val="center"/>
        <w:textAlignment w:val="baseline"/>
        <w:rPr>
          <w:rFonts w:ascii="Times New Roman" w:hAnsi="Times New Roman" w:cs="Times New Roman"/>
          <w:b/>
          <w:bCs/>
          <w:sz w:val="36"/>
          <w:szCs w:val="36"/>
        </w:rPr>
      </w:pPr>
    </w:p>
    <w:p>
      <w:pPr>
        <w:spacing w:line="360" w:lineRule="auto"/>
        <w:jc w:val="center"/>
        <w:textAlignment w:val="baseline"/>
        <w:rPr>
          <w:rFonts w:ascii="Times New Roman" w:hAnsi="Times New Roman" w:cs="Times New Roman"/>
          <w:b/>
          <w:bCs/>
          <w:sz w:val="36"/>
          <w:szCs w:val="36"/>
        </w:rPr>
      </w:pPr>
    </w:p>
    <w:p>
      <w:pPr>
        <w:spacing w:line="360" w:lineRule="auto"/>
        <w:textAlignment w:val="baseline"/>
        <w:rPr>
          <w:rFonts w:ascii="Times New Roman" w:hAnsi="Times New Roman" w:cs="Times New Roman"/>
          <w:b/>
          <w:bCs/>
          <w:sz w:val="36"/>
          <w:szCs w:val="36"/>
        </w:rPr>
      </w:pPr>
    </w:p>
    <w:p>
      <w:pPr>
        <w:spacing w:line="360" w:lineRule="auto"/>
        <w:jc w:val="center"/>
        <w:textAlignment w:val="baseline"/>
        <w:rPr>
          <w:rFonts w:ascii="Times New Roman" w:hAnsi="Times New Roman" w:cs="Times New Roman"/>
          <w:b/>
          <w:bCs/>
          <w:sz w:val="36"/>
          <w:szCs w:val="36"/>
        </w:rPr>
      </w:pPr>
    </w:p>
    <w:p>
      <w:pPr>
        <w:spacing w:line="360" w:lineRule="auto"/>
        <w:jc w:val="center"/>
        <w:textAlignment w:val="baseline"/>
        <w:rPr>
          <w:rFonts w:ascii="Times New Roman" w:hAnsi="Times New Roman" w:cs="Times New Roman"/>
          <w:b/>
          <w:bCs/>
          <w:sz w:val="36"/>
          <w:szCs w:val="36"/>
        </w:rPr>
      </w:pPr>
    </w:p>
    <w:p>
      <w:pPr>
        <w:spacing w:line="360" w:lineRule="auto"/>
        <w:jc w:val="center"/>
        <w:textAlignment w:val="baseline"/>
        <w:rPr>
          <w:rFonts w:ascii="Times New Roman" w:hAnsi="Times New Roman" w:cs="Times New Roman"/>
          <w:b/>
          <w:bCs/>
          <w:sz w:val="30"/>
          <w:szCs w:val="30"/>
        </w:rPr>
      </w:pPr>
    </w:p>
    <w:p>
      <w:pPr>
        <w:spacing w:line="360" w:lineRule="auto"/>
        <w:jc w:val="center"/>
        <w:textAlignment w:val="baseline"/>
        <w:rPr>
          <w:rFonts w:ascii="Times New Roman" w:hAnsi="Times New Roman" w:cs="Times New Roman"/>
          <w:b/>
          <w:bCs/>
          <w:sz w:val="30"/>
          <w:szCs w:val="30"/>
        </w:rPr>
      </w:pPr>
    </w:p>
    <w:p>
      <w:pPr>
        <w:spacing w:line="360" w:lineRule="auto"/>
        <w:jc w:val="center"/>
        <w:textAlignment w:val="baseline"/>
        <w:rPr>
          <w:rFonts w:ascii="Times New Roman" w:hAnsi="Times New Roman" w:cs="宋体"/>
          <w:b/>
          <w:bCs/>
          <w:sz w:val="30"/>
          <w:szCs w:val="30"/>
        </w:rPr>
      </w:pPr>
      <w:r>
        <w:rPr>
          <w:rFonts w:hint="eastAsia" w:ascii="Times New Roman" w:hAnsi="Times New Roman" w:cs="宋体"/>
          <w:b/>
          <w:bCs/>
          <w:sz w:val="30"/>
          <w:szCs w:val="30"/>
        </w:rPr>
        <w:t>招标单位：南通市第三人民医院</w:t>
      </w:r>
    </w:p>
    <w:p>
      <w:pPr>
        <w:pStyle w:val="2"/>
        <w:ind w:firstLine="1202" w:firstLineChars="399"/>
        <w:rPr>
          <w:rFonts w:ascii="Times New Roman" w:hAnsi="Times New Roman" w:cs="宋体"/>
          <w:b/>
          <w:bCs/>
          <w:sz w:val="30"/>
          <w:szCs w:val="30"/>
        </w:rPr>
      </w:pPr>
      <w:r>
        <w:rPr>
          <w:rFonts w:hint="eastAsia" w:ascii="Times New Roman" w:hAnsi="Times New Roman" w:cs="宋体"/>
          <w:b/>
          <w:bCs/>
          <w:sz w:val="30"/>
          <w:szCs w:val="30"/>
        </w:rPr>
        <w:t>招标代理单位：江苏中房工程咨询有限公司</w:t>
      </w:r>
    </w:p>
    <w:p>
      <w:pPr>
        <w:pStyle w:val="2"/>
        <w:ind w:firstLine="2708" w:firstLineChars="899"/>
        <w:rPr>
          <w:rFonts w:ascii="Times New Roman" w:hAnsi="Times New Roman" w:cs="宋体"/>
          <w:b/>
          <w:bCs/>
          <w:sz w:val="30"/>
          <w:szCs w:val="30"/>
        </w:rPr>
      </w:pPr>
      <w:r>
        <w:rPr>
          <w:rFonts w:hint="eastAsia" w:ascii="Times New Roman" w:hAnsi="Times New Roman" w:cs="宋体"/>
          <w:b/>
          <w:bCs/>
          <w:sz w:val="30"/>
          <w:szCs w:val="30"/>
        </w:rPr>
        <w:t>2022年9月19日</w:t>
      </w:r>
    </w:p>
    <w:p>
      <w:pPr>
        <w:widowControl/>
        <w:jc w:val="center"/>
        <w:rPr>
          <w:rFonts w:ascii="Times New Roman" w:hAnsi="Times New Roman" w:cs="Times New Roman"/>
          <w:b/>
          <w:bCs/>
          <w:sz w:val="30"/>
          <w:szCs w:val="30"/>
        </w:rPr>
      </w:pPr>
      <w:r>
        <w:rPr>
          <w:rFonts w:ascii="Times New Roman" w:hAnsi="Times New Roman" w:cs="Times New Roman"/>
          <w:b/>
          <w:bCs/>
          <w:sz w:val="44"/>
          <w:szCs w:val="44"/>
        </w:rPr>
        <w:br w:type="page"/>
      </w:r>
      <w:r>
        <w:rPr>
          <w:rFonts w:hint="eastAsia" w:ascii="Times New Roman" w:hAnsi="Times New Roman" w:cs="宋体"/>
          <w:b/>
          <w:bCs/>
          <w:sz w:val="44"/>
          <w:szCs w:val="44"/>
        </w:rPr>
        <w:t>目录</w:t>
      </w:r>
    </w:p>
    <w:p>
      <w:pPr>
        <w:pStyle w:val="15"/>
        <w:tabs>
          <w:tab w:val="right" w:leader="dot" w:pos="9528"/>
        </w:tabs>
        <w:spacing w:line="1200" w:lineRule="exact"/>
        <w:rPr>
          <w:rFonts w:ascii="Times New Roman" w:hAnsi="Times New Roman" w:eastAsia="宋体" w:cs="Times New Roman"/>
          <w:sz w:val="32"/>
          <w:szCs w:val="32"/>
        </w:rPr>
      </w:pPr>
      <w:r>
        <w:rPr>
          <w:rFonts w:ascii="Times New Roman" w:hAnsi="Times New Roman" w:eastAsia="宋体" w:cs="Times New Roman"/>
          <w:b/>
          <w:bCs/>
          <w:sz w:val="36"/>
          <w:szCs w:val="36"/>
        </w:rPr>
        <w:fldChar w:fldCharType="begin"/>
      </w:r>
      <w:r>
        <w:rPr>
          <w:rFonts w:ascii="Times New Roman" w:hAnsi="Times New Roman" w:eastAsia="宋体" w:cs="Times New Roman"/>
          <w:b/>
          <w:bCs/>
          <w:sz w:val="36"/>
          <w:szCs w:val="36"/>
        </w:rPr>
        <w:instrText xml:space="preserve"> TOC \o "1-1"</w:instrText>
      </w:r>
      <w:r>
        <w:rPr>
          <w:rFonts w:ascii="Times New Roman" w:hAnsi="Times New Roman" w:eastAsia="宋体" w:cs="Times New Roman"/>
          <w:b/>
          <w:bCs/>
          <w:sz w:val="36"/>
          <w:szCs w:val="36"/>
        </w:rPr>
        <w:fldChar w:fldCharType="separate"/>
      </w:r>
      <w:r>
        <w:rPr>
          <w:rFonts w:hint="eastAsia" w:ascii="Times New Roman" w:hAnsi="Times New Roman" w:eastAsia="宋体" w:cs="宋体"/>
          <w:sz w:val="32"/>
          <w:szCs w:val="32"/>
        </w:rPr>
        <w:t>第一章</w:t>
      </w:r>
      <w:r>
        <w:rPr>
          <w:rFonts w:ascii="Times New Roman" w:hAnsi="Times New Roman" w:eastAsia="宋体" w:cs="Times New Roman"/>
          <w:sz w:val="32"/>
          <w:szCs w:val="32"/>
        </w:rPr>
        <w:t xml:space="preserve"> </w:t>
      </w:r>
      <w:r>
        <w:rPr>
          <w:rFonts w:hint="eastAsia" w:ascii="Times New Roman" w:hAnsi="Times New Roman" w:eastAsia="宋体" w:cs="宋体"/>
          <w:sz w:val="32"/>
          <w:szCs w:val="32"/>
        </w:rPr>
        <w:t>竞争性磋商公告</w:t>
      </w:r>
    </w:p>
    <w:p>
      <w:pPr>
        <w:pStyle w:val="15"/>
        <w:tabs>
          <w:tab w:val="right" w:leader="dot" w:pos="9528"/>
        </w:tabs>
        <w:spacing w:line="1200" w:lineRule="exact"/>
        <w:rPr>
          <w:rFonts w:ascii="Times New Roman" w:hAnsi="Times New Roman" w:eastAsia="宋体" w:cs="Times New Roman"/>
          <w:sz w:val="32"/>
          <w:szCs w:val="32"/>
        </w:rPr>
      </w:pPr>
      <w:r>
        <w:rPr>
          <w:rFonts w:hint="eastAsia" w:ascii="Times New Roman" w:hAnsi="Times New Roman" w:eastAsia="宋体" w:cs="宋体"/>
          <w:sz w:val="32"/>
          <w:szCs w:val="32"/>
        </w:rPr>
        <w:t>第二章</w:t>
      </w:r>
      <w:r>
        <w:rPr>
          <w:rFonts w:ascii="Times New Roman" w:hAnsi="Times New Roman" w:eastAsia="宋体" w:cs="Times New Roman"/>
          <w:sz w:val="32"/>
          <w:szCs w:val="32"/>
        </w:rPr>
        <w:t xml:space="preserve"> </w:t>
      </w:r>
      <w:r>
        <w:rPr>
          <w:rFonts w:hint="eastAsia" w:ascii="Times New Roman" w:hAnsi="Times New Roman" w:eastAsia="宋体" w:cs="宋体"/>
          <w:sz w:val="32"/>
          <w:szCs w:val="32"/>
        </w:rPr>
        <w:t>投标单位须知</w:t>
      </w:r>
    </w:p>
    <w:p>
      <w:pPr>
        <w:pStyle w:val="15"/>
        <w:tabs>
          <w:tab w:val="right" w:leader="dot" w:pos="9528"/>
        </w:tabs>
        <w:spacing w:line="1200" w:lineRule="exact"/>
        <w:rPr>
          <w:rFonts w:ascii="Times New Roman" w:hAnsi="Times New Roman" w:eastAsia="宋体" w:cs="Times New Roman"/>
          <w:sz w:val="32"/>
          <w:szCs w:val="32"/>
        </w:rPr>
      </w:pPr>
      <w:r>
        <w:rPr>
          <w:rFonts w:hint="eastAsia" w:ascii="Times New Roman" w:hAnsi="Times New Roman" w:eastAsia="宋体" w:cs="宋体"/>
          <w:sz w:val="32"/>
          <w:szCs w:val="32"/>
        </w:rPr>
        <w:t>第三章</w:t>
      </w:r>
      <w:r>
        <w:rPr>
          <w:rFonts w:ascii="Times New Roman" w:hAnsi="Times New Roman" w:eastAsia="宋体" w:cs="Times New Roman"/>
          <w:sz w:val="32"/>
          <w:szCs w:val="32"/>
        </w:rPr>
        <w:t xml:space="preserve"> </w:t>
      </w:r>
      <w:r>
        <w:rPr>
          <w:rFonts w:hint="eastAsia" w:ascii="Times New Roman" w:hAnsi="Times New Roman" w:eastAsia="宋体" w:cs="宋体"/>
          <w:sz w:val="32"/>
          <w:szCs w:val="32"/>
        </w:rPr>
        <w:t>项目需求</w:t>
      </w:r>
    </w:p>
    <w:p>
      <w:pPr>
        <w:pStyle w:val="15"/>
        <w:tabs>
          <w:tab w:val="right" w:leader="dot" w:pos="9528"/>
        </w:tabs>
        <w:spacing w:line="1200" w:lineRule="exact"/>
        <w:rPr>
          <w:rFonts w:ascii="Times New Roman" w:hAnsi="Times New Roman" w:eastAsia="宋体" w:cs="Times New Roman"/>
          <w:sz w:val="32"/>
          <w:szCs w:val="32"/>
        </w:rPr>
      </w:pPr>
      <w:r>
        <w:rPr>
          <w:rFonts w:hint="eastAsia" w:ascii="Times New Roman" w:hAnsi="Times New Roman" w:eastAsia="宋体" w:cs="宋体"/>
          <w:sz w:val="32"/>
          <w:szCs w:val="32"/>
        </w:rPr>
        <w:t>第四章</w:t>
      </w:r>
      <w:r>
        <w:rPr>
          <w:rFonts w:ascii="Times New Roman" w:hAnsi="Times New Roman" w:eastAsia="宋体" w:cs="Times New Roman"/>
          <w:sz w:val="32"/>
          <w:szCs w:val="32"/>
        </w:rPr>
        <w:t xml:space="preserve"> </w:t>
      </w:r>
      <w:r>
        <w:rPr>
          <w:rFonts w:hint="eastAsia" w:ascii="Times New Roman" w:hAnsi="Times New Roman" w:eastAsia="宋体" w:cs="宋体"/>
          <w:sz w:val="32"/>
          <w:szCs w:val="32"/>
        </w:rPr>
        <w:t>评审方法和程序</w:t>
      </w:r>
    </w:p>
    <w:p>
      <w:pPr>
        <w:spacing w:line="1200" w:lineRule="exact"/>
        <w:rPr>
          <w:rFonts w:ascii="Times New Roman" w:hAnsi="Times New Roman" w:cs="Times New Roman"/>
          <w:sz w:val="32"/>
          <w:szCs w:val="32"/>
        </w:rPr>
      </w:pPr>
      <w:r>
        <w:rPr>
          <w:rFonts w:hint="eastAsia" w:ascii="Times New Roman" w:hAnsi="Times New Roman" w:cs="宋体"/>
          <w:sz w:val="32"/>
          <w:szCs w:val="32"/>
        </w:rPr>
        <w:t>第五章</w:t>
      </w:r>
      <w:r>
        <w:rPr>
          <w:rFonts w:ascii="Times New Roman" w:hAnsi="Times New Roman" w:cs="Times New Roman"/>
          <w:sz w:val="32"/>
          <w:szCs w:val="32"/>
        </w:rPr>
        <w:t xml:space="preserve"> </w:t>
      </w:r>
      <w:r>
        <w:rPr>
          <w:rFonts w:hint="eastAsia" w:ascii="Times New Roman" w:hAnsi="Times New Roman" w:cs="宋体"/>
          <w:sz w:val="32"/>
          <w:szCs w:val="32"/>
        </w:rPr>
        <w:t>质疑提出和处理</w:t>
      </w:r>
    </w:p>
    <w:p>
      <w:pPr>
        <w:spacing w:line="1200" w:lineRule="exact"/>
        <w:rPr>
          <w:rFonts w:ascii="Times New Roman" w:hAnsi="Times New Roman" w:cs="Times New Roman"/>
          <w:sz w:val="36"/>
          <w:szCs w:val="36"/>
        </w:rPr>
      </w:pPr>
      <w:r>
        <w:rPr>
          <w:rFonts w:hint="eastAsia" w:ascii="Times New Roman" w:hAnsi="Times New Roman" w:cs="宋体"/>
          <w:sz w:val="32"/>
          <w:szCs w:val="32"/>
        </w:rPr>
        <w:t>第六章</w:t>
      </w:r>
      <w:r>
        <w:rPr>
          <w:rFonts w:ascii="Times New Roman" w:hAnsi="Times New Roman" w:cs="Times New Roman"/>
          <w:sz w:val="32"/>
          <w:szCs w:val="32"/>
        </w:rPr>
        <w:t xml:space="preserve"> </w:t>
      </w:r>
      <w:r>
        <w:rPr>
          <w:rFonts w:hint="eastAsia" w:ascii="Times New Roman" w:hAnsi="Times New Roman" w:cs="宋体"/>
          <w:sz w:val="32"/>
          <w:szCs w:val="32"/>
        </w:rPr>
        <w:t>响应文件组成及格式</w:t>
      </w:r>
    </w:p>
    <w:p>
      <w:pPr>
        <w:widowControl/>
        <w:jc w:val="left"/>
        <w:rPr>
          <w:rFonts w:ascii="Times New Roman" w:hAnsi="Times New Roman" w:cs="Times New Roman"/>
          <w:b/>
          <w:bCs/>
          <w:sz w:val="36"/>
          <w:szCs w:val="36"/>
        </w:rPr>
      </w:pPr>
      <w:r>
        <w:rPr>
          <w:rFonts w:ascii="Times New Roman" w:hAnsi="Times New Roman" w:cs="Times New Roman"/>
          <w:b/>
          <w:bCs/>
          <w:sz w:val="36"/>
          <w:szCs w:val="36"/>
        </w:rPr>
        <w:fldChar w:fldCharType="end"/>
      </w:r>
    </w:p>
    <w:p>
      <w:pPr>
        <w:pStyle w:val="2"/>
        <w:jc w:val="center"/>
        <w:rPr>
          <w:rFonts w:ascii="Times New Roman" w:hAnsi="Times New Roman" w:cs="Times New Roman"/>
          <w:b/>
          <w:w w:val="80"/>
          <w:sz w:val="48"/>
          <w:szCs w:val="48"/>
        </w:rPr>
      </w:pPr>
      <w:r>
        <w:rPr>
          <w:rFonts w:ascii="Times New Roman" w:hAnsi="Times New Roman" w:cs="Times New Roman"/>
        </w:rPr>
        <w:br w:type="page"/>
      </w:r>
      <w:r>
        <w:rPr>
          <w:rFonts w:hint="eastAsia" w:ascii="Times New Roman" w:hAnsi="Times New Roman" w:cs="宋体"/>
          <w:b/>
          <w:w w:val="80"/>
          <w:sz w:val="48"/>
          <w:szCs w:val="48"/>
        </w:rPr>
        <w:t>第一章</w:t>
      </w:r>
      <w:r>
        <w:rPr>
          <w:rFonts w:ascii="Times New Roman" w:hAnsi="Times New Roman" w:cs="Times New Roman"/>
          <w:b/>
          <w:w w:val="80"/>
          <w:sz w:val="48"/>
          <w:szCs w:val="48"/>
        </w:rPr>
        <w:t xml:space="preserve"> </w:t>
      </w:r>
      <w:r>
        <w:rPr>
          <w:rFonts w:hint="eastAsia" w:ascii="Times New Roman" w:hAnsi="Times New Roman" w:cs="宋体"/>
          <w:b/>
          <w:w w:val="80"/>
          <w:sz w:val="48"/>
          <w:szCs w:val="48"/>
        </w:rPr>
        <w:t>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南通市第三人民医院招标控制价编制及审核、工程结算审核工作咨询服务项目的潜在投标单位应在南通市第三人民医院官网获取采购文件，并于</w:t>
      </w:r>
      <w:r>
        <w:rPr>
          <w:rFonts w:ascii="Times New Roman" w:hAnsi="Times New Roman" w:cs="Times New Roman"/>
          <w:sz w:val="24"/>
          <w:szCs w:val="24"/>
          <w:u w:val="single"/>
        </w:rPr>
        <w:t>2022</w:t>
      </w:r>
      <w:r>
        <w:rPr>
          <w:rFonts w:hint="eastAsia" w:ascii="Times New Roman" w:hAnsi="Times New Roman" w:cs="宋体"/>
          <w:sz w:val="24"/>
          <w:szCs w:val="24"/>
          <w:u w:val="single"/>
        </w:rPr>
        <w:t>年</w:t>
      </w:r>
      <w:r>
        <w:rPr>
          <w:rFonts w:ascii="Times New Roman" w:hAnsi="Times New Roman" w:cs="Times New Roman"/>
          <w:sz w:val="24"/>
          <w:szCs w:val="24"/>
          <w:u w:val="single"/>
        </w:rPr>
        <w:t>09</w:t>
      </w:r>
      <w:r>
        <w:rPr>
          <w:rFonts w:hint="eastAsia" w:ascii="Times New Roman" w:hAnsi="Times New Roman" w:cs="宋体"/>
          <w:sz w:val="24"/>
          <w:szCs w:val="24"/>
          <w:u w:val="single"/>
        </w:rPr>
        <w:t>月</w:t>
      </w:r>
      <w:r>
        <w:rPr>
          <w:rFonts w:hint="eastAsia" w:ascii="Times New Roman" w:hAnsi="Times New Roman" w:cs="Times New Roman"/>
          <w:sz w:val="24"/>
          <w:szCs w:val="24"/>
          <w:u w:val="single"/>
        </w:rPr>
        <w:t>26</w:t>
      </w:r>
      <w:r>
        <w:rPr>
          <w:rFonts w:hint="eastAsia" w:ascii="Times New Roman" w:hAnsi="Times New Roman" w:cs="宋体"/>
          <w:sz w:val="24"/>
          <w:szCs w:val="24"/>
          <w:u w:val="single"/>
        </w:rPr>
        <w:t>日</w:t>
      </w:r>
      <w:r>
        <w:rPr>
          <w:rFonts w:hint="eastAsia" w:ascii="Times New Roman" w:hAnsi="Times New Roman" w:cs="Times New Roman"/>
          <w:sz w:val="24"/>
          <w:szCs w:val="24"/>
          <w:u w:val="single"/>
        </w:rPr>
        <w:t>9</w:t>
      </w:r>
      <w:r>
        <w:rPr>
          <w:rFonts w:hint="eastAsia" w:ascii="Times New Roman" w:hAnsi="Times New Roman" w:cs="宋体"/>
          <w:sz w:val="24"/>
          <w:szCs w:val="24"/>
          <w:u w:val="single"/>
        </w:rPr>
        <w:t>时</w:t>
      </w:r>
      <w:r>
        <w:rPr>
          <w:rFonts w:ascii="Times New Roman" w:hAnsi="Times New Roman" w:cs="Times New Roman"/>
          <w:sz w:val="24"/>
          <w:szCs w:val="24"/>
          <w:u w:val="single"/>
        </w:rPr>
        <w:t>30</w:t>
      </w:r>
      <w:r>
        <w:rPr>
          <w:rFonts w:hint="eastAsia" w:ascii="Times New Roman" w:hAnsi="Times New Roman" w:cs="宋体"/>
          <w:sz w:val="24"/>
          <w:szCs w:val="24"/>
          <w:u w:val="single"/>
        </w:rPr>
        <w:t>分</w:t>
      </w:r>
      <w:r>
        <w:rPr>
          <w:rFonts w:hint="eastAsia" w:ascii="Times New Roman" w:hAnsi="Times New Roman" w:cs="宋体"/>
          <w:sz w:val="24"/>
          <w:szCs w:val="24"/>
        </w:rPr>
        <w:t>（北京时间）前提交响应文件。</w:t>
      </w:r>
    </w:p>
    <w:p>
      <w:pPr>
        <w:keepNext/>
        <w:keepLines/>
        <w:spacing w:line="360" w:lineRule="auto"/>
        <w:ind w:firstLine="482" w:firstLineChars="200"/>
        <w:textAlignment w:val="baseline"/>
        <w:rPr>
          <w:rFonts w:ascii="Times New Roman" w:hAnsi="Times New Roman" w:cs="Times New Roman"/>
          <w:b/>
          <w:bCs/>
          <w:kern w:val="0"/>
          <w:sz w:val="24"/>
          <w:szCs w:val="24"/>
        </w:rPr>
      </w:pPr>
      <w:r>
        <w:rPr>
          <w:rFonts w:hint="eastAsia" w:ascii="Times New Roman" w:hAnsi="Times New Roman" w:cs="宋体"/>
          <w:b/>
          <w:bCs/>
          <w:kern w:val="0"/>
          <w:sz w:val="24"/>
          <w:szCs w:val="24"/>
        </w:rPr>
        <w:t>一、项目基本情况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、项目名称：南通市第三人民医院招标控制价编制及审核、工程结算审核工作咨询服务项目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、招标方式：□竞争性谈判</w:t>
      </w:r>
      <w:r>
        <w:rPr>
          <w:rFonts w:hint="eastAsia" w:ascii="Times New Roman" w:hAnsi="Times New Roman" w:eastAsia="MS Mincho" w:cs="MS Mincho"/>
          <w:sz w:val="24"/>
          <w:szCs w:val="24"/>
        </w:rPr>
        <w:t>☑</w:t>
      </w:r>
      <w:r>
        <w:rPr>
          <w:rFonts w:hint="eastAsia" w:ascii="Times New Roman" w:hAnsi="Times New Roman" w:cs="宋体"/>
          <w:sz w:val="24"/>
          <w:szCs w:val="24"/>
        </w:rPr>
        <w:t>竞争性磋商□询价</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、招标需求：南通市第三人民医院招标落实三家服务单位，提供本院工程造价咨询服务，主要包含招标控制价编制及审核、工程结算审核工作咨询服务；具体内容详见竞争性磋商文件第三章项目需求。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、服务期限：</w:t>
      </w:r>
      <w:r>
        <w:rPr>
          <w:rFonts w:hint="eastAsia" w:ascii="宋体" w:hAnsi="宋体" w:cs="宋体"/>
          <w:sz w:val="24"/>
          <w:szCs w:val="24"/>
        </w:rPr>
        <w:t>本项目服务周期为三年，首次合同签订一年。一年服务期满，在招标单位考核合格，服务满意，且成交商不增加费用的前提下，可续签合同，可连续续签两次。考核不合格，招标单位可以重新组织招标。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、本项目不接受联合体。</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二、申请人的资格要求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、符合《中华人民共和国政府采购法》第二十二条规定：</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1</w:t>
      </w:r>
      <w:r>
        <w:rPr>
          <w:rFonts w:hint="eastAsia" w:ascii="Times New Roman" w:hAnsi="Times New Roman" w:cs="宋体"/>
          <w:sz w:val="24"/>
          <w:szCs w:val="24"/>
        </w:rPr>
        <w:t>）具有独立承担民事责任的能力；</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2</w:t>
      </w:r>
      <w:r>
        <w:rPr>
          <w:rFonts w:hint="eastAsia" w:ascii="Times New Roman" w:hAnsi="Times New Roman" w:cs="宋体"/>
          <w:sz w:val="24"/>
          <w:szCs w:val="24"/>
        </w:rPr>
        <w:t>）具有良好的商业信誉和健全的财务会计制度；</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3</w:t>
      </w:r>
      <w:r>
        <w:rPr>
          <w:rFonts w:hint="eastAsia" w:ascii="Times New Roman" w:hAnsi="Times New Roman" w:cs="宋体"/>
          <w:sz w:val="24"/>
          <w:szCs w:val="24"/>
        </w:rPr>
        <w:t>）具有履行合同所必需的设备和专业技术能力；</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4</w:t>
      </w:r>
      <w:r>
        <w:rPr>
          <w:rFonts w:hint="eastAsia" w:ascii="Times New Roman" w:hAnsi="Times New Roman" w:cs="宋体"/>
          <w:sz w:val="24"/>
          <w:szCs w:val="24"/>
        </w:rPr>
        <w:t>）有依法缴纳税收和社会保障资金的良好记录；</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5</w:t>
      </w:r>
      <w:r>
        <w:rPr>
          <w:rFonts w:hint="eastAsia" w:ascii="Times New Roman" w:hAnsi="Times New Roman" w:cs="宋体"/>
          <w:sz w:val="24"/>
          <w:szCs w:val="24"/>
        </w:rPr>
        <w:t>）参加政府采购活动前三年内，在经营活动中没有重大违法记录；</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6</w:t>
      </w:r>
      <w:r>
        <w:rPr>
          <w:rFonts w:hint="eastAsia" w:ascii="Times New Roman" w:hAnsi="Times New Roman" w:cs="宋体"/>
          <w:sz w:val="24"/>
          <w:szCs w:val="24"/>
        </w:rPr>
        <w:t>）法律、行政法规规定的其他条件。</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、落实政府采购政策需满足的资格要求：</w:t>
      </w:r>
      <w:r>
        <w:rPr>
          <w:rFonts w:hint="eastAsia" w:ascii="Times New Roman" w:hAnsi="Times New Roman" w:cs="宋体"/>
          <w:sz w:val="24"/>
          <w:szCs w:val="24"/>
          <w:u w:val="single"/>
        </w:rPr>
        <w:t>无</w:t>
      </w:r>
      <w:r>
        <w:rPr>
          <w:rFonts w:hint="eastAsia" w:ascii="Times New Roman" w:hAnsi="Times New Roman" w:cs="宋体"/>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、本项目的特定资格要求：</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1</w:t>
      </w:r>
      <w:r>
        <w:rPr>
          <w:rFonts w:hint="eastAsia" w:ascii="Times New Roman" w:hAnsi="Times New Roman" w:cs="宋体"/>
          <w:sz w:val="24"/>
          <w:szCs w:val="24"/>
        </w:rPr>
        <w:t>）</w:t>
      </w:r>
      <w:r>
        <w:rPr>
          <w:rFonts w:hint="eastAsia" w:cs="宋体"/>
          <w:sz w:val="24"/>
          <w:szCs w:val="24"/>
        </w:rPr>
        <w:t>投标单位须具有独立法人资格，具有有效的三证合一的营业执照，有能力按本采购文件规定的要求提供专业服务。</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2</w:t>
      </w:r>
      <w:r>
        <w:rPr>
          <w:rFonts w:hint="eastAsia" w:ascii="Times New Roman" w:hAnsi="Times New Roman" w:cs="宋体"/>
          <w:sz w:val="24"/>
          <w:szCs w:val="24"/>
        </w:rPr>
        <w:t>）投标单位应为</w:t>
      </w:r>
      <w:r>
        <w:rPr>
          <w:rFonts w:ascii="Times New Roman" w:hAnsi="Times New Roman" w:cs="Times New Roman"/>
          <w:sz w:val="24"/>
          <w:szCs w:val="24"/>
        </w:rPr>
        <w:t>2022-2023</w:t>
      </w:r>
      <w:r>
        <w:rPr>
          <w:rFonts w:hint="eastAsia" w:ascii="Times New Roman" w:hAnsi="Times New Roman" w:cs="宋体"/>
          <w:sz w:val="24"/>
          <w:szCs w:val="24"/>
        </w:rPr>
        <w:t>年南通市政府投资建设项目协审服务中介机构入库单位。</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3</w:t>
      </w:r>
      <w:r>
        <w:rPr>
          <w:rFonts w:hint="eastAsia" w:ascii="Times New Roman" w:hAnsi="Times New Roman" w:cs="宋体"/>
          <w:sz w:val="24"/>
          <w:szCs w:val="24"/>
        </w:rPr>
        <w:t>）法定代表人参加投标的，必须提供法定代表人身份证明及法定代表人本人身份证复印件；非法定代表人参加投标的，必须提供法定代表人签字或盖章的授权委托书、法定代表人本人身份证复印件及被授权人本人身份证复印件。</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、未被“信用中国”网站（</w:t>
      </w:r>
      <w:r>
        <w:rPr>
          <w:rFonts w:ascii="Times New Roman" w:hAnsi="Times New Roman" w:cs="Times New Roman"/>
          <w:sz w:val="24"/>
          <w:szCs w:val="24"/>
        </w:rPr>
        <w:t>www.creditchina.gov.cn</w:t>
      </w:r>
      <w:r>
        <w:rPr>
          <w:rFonts w:hint="eastAsia" w:ascii="Times New Roman" w:hAnsi="Times New Roman" w:cs="宋体"/>
          <w:sz w:val="24"/>
          <w:szCs w:val="24"/>
        </w:rPr>
        <w:t>）列入失信被执行人、重大税收违法案件当事人名单、政府采购严重失信行为记录名单；</w:t>
      </w:r>
    </w:p>
    <w:p>
      <w:pPr>
        <w:spacing w:line="360" w:lineRule="auto"/>
        <w:ind w:firstLine="482" w:firstLineChars="200"/>
        <w:textAlignment w:val="baseline"/>
        <w:rPr>
          <w:rFonts w:ascii="Times New Roman" w:hAnsi="Times New Roman" w:cs="Times New Roman"/>
          <w:b/>
          <w:bCs/>
          <w:sz w:val="24"/>
          <w:szCs w:val="24"/>
          <w:lang w:val="zh-CN"/>
        </w:rPr>
      </w:pPr>
      <w:r>
        <w:rPr>
          <w:rFonts w:hint="eastAsia" w:ascii="Times New Roman" w:hAnsi="Times New Roman" w:cs="宋体"/>
          <w:b/>
          <w:bCs/>
          <w:sz w:val="24"/>
          <w:szCs w:val="24"/>
          <w:lang w:val="zh-CN"/>
        </w:rPr>
        <w:t>具体资格要求详见第</w:t>
      </w:r>
      <w:r>
        <w:rPr>
          <w:rFonts w:hint="eastAsia" w:ascii="Times New Roman" w:hAnsi="Times New Roman" w:cs="宋体"/>
          <w:b/>
          <w:bCs/>
          <w:sz w:val="24"/>
          <w:szCs w:val="24"/>
        </w:rPr>
        <w:t>六</w:t>
      </w:r>
      <w:r>
        <w:rPr>
          <w:rFonts w:hint="eastAsia" w:ascii="Times New Roman" w:hAnsi="Times New Roman" w:cs="宋体"/>
          <w:b/>
          <w:bCs/>
          <w:sz w:val="24"/>
          <w:szCs w:val="24"/>
          <w:lang w:val="zh-CN"/>
        </w:rPr>
        <w:t>章中的“资格审查文件”。</w:t>
      </w:r>
    </w:p>
    <w:p>
      <w:pPr>
        <w:keepNext/>
        <w:keepLines/>
        <w:spacing w:line="360" w:lineRule="auto"/>
        <w:ind w:firstLine="482" w:firstLineChars="200"/>
        <w:textAlignment w:val="baseline"/>
        <w:rPr>
          <w:rFonts w:ascii="Times New Roman" w:hAnsi="Times New Roman" w:cs="Times New Roman"/>
          <w:b/>
          <w:bCs/>
          <w:kern w:val="0"/>
          <w:sz w:val="24"/>
          <w:szCs w:val="24"/>
        </w:rPr>
      </w:pPr>
      <w:bookmarkStart w:id="0" w:name="_Toc35393623"/>
      <w:bookmarkStart w:id="1" w:name="_Toc35393792"/>
      <w:r>
        <w:rPr>
          <w:rFonts w:hint="eastAsia" w:ascii="Times New Roman" w:hAnsi="Times New Roman" w:cs="宋体"/>
          <w:b/>
          <w:bCs/>
          <w:kern w:val="0"/>
          <w:sz w:val="24"/>
          <w:szCs w:val="24"/>
        </w:rPr>
        <w:t>三、获取采购文件</w:t>
      </w:r>
      <w:bookmarkEnd w:id="0"/>
      <w:bookmarkEnd w:id="1"/>
      <w:r>
        <w:rPr>
          <w:rFonts w:hint="eastAsia" w:ascii="Times New Roman" w:hAnsi="Times New Roman" w:cs="宋体"/>
          <w:b/>
          <w:bCs/>
          <w:kern w:val="0"/>
          <w:sz w:val="24"/>
          <w:szCs w:val="24"/>
        </w:rPr>
        <w:t>及投标报名</w:t>
      </w:r>
    </w:p>
    <w:p>
      <w:pPr>
        <w:spacing w:line="360" w:lineRule="auto"/>
        <w:ind w:firstLine="480" w:firstLineChars="200"/>
        <w:rPr>
          <w:rFonts w:ascii="Times New Roman" w:hAnsi="Times New Roman" w:cs="Times New Roman"/>
          <w:sz w:val="24"/>
          <w:szCs w:val="24"/>
        </w:rPr>
      </w:pPr>
      <w:bookmarkStart w:id="2" w:name="_Toc28359005"/>
      <w:bookmarkStart w:id="3" w:name="_Toc28359082"/>
      <w:bookmarkStart w:id="4" w:name="_Toc35393624"/>
      <w:bookmarkStart w:id="5" w:name="_Toc35393793"/>
      <w:r>
        <w:rPr>
          <w:rFonts w:ascii="Times New Roman" w:hAnsi="Times New Roman" w:cs="Times New Roman"/>
          <w:sz w:val="24"/>
          <w:szCs w:val="24"/>
        </w:rPr>
        <w:t>1</w:t>
      </w:r>
      <w:r>
        <w:rPr>
          <w:rFonts w:hint="eastAsia" w:ascii="Times New Roman" w:hAnsi="Times New Roman" w:cs="宋体"/>
          <w:sz w:val="24"/>
          <w:szCs w:val="24"/>
        </w:rPr>
        <w:t>、时间：</w:t>
      </w:r>
      <w:r>
        <w:rPr>
          <w:rFonts w:hint="eastAsia" w:ascii="Times New Roman" w:hAnsi="Times New Roman" w:cs="宋体"/>
          <w:sz w:val="24"/>
          <w:szCs w:val="24"/>
          <w:u w:val="single"/>
        </w:rPr>
        <w:t>自本磋商公告发布之日起至2022年9月26日9时30分</w:t>
      </w:r>
      <w:r>
        <w:rPr>
          <w:rFonts w:hint="eastAsia" w:ascii="Times New Roman" w:hAnsi="Times New Roman" w:cs="宋体"/>
          <w:sz w:val="24"/>
          <w:szCs w:val="24"/>
        </w:rPr>
        <w:t>（北京时间）。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、方式：在南通市第三人民医院官网（</w:t>
      </w:r>
      <w:r>
        <w:rPr>
          <w:rFonts w:ascii="Times New Roman" w:hAnsi="Times New Roman" w:cs="Times New Roman"/>
          <w:sz w:val="24"/>
          <w:szCs w:val="24"/>
        </w:rPr>
        <w:t>http://www.ntdsyy.com/</w:t>
      </w:r>
      <w:r>
        <w:rPr>
          <w:rFonts w:hint="eastAsia" w:ascii="Times New Roman" w:hAnsi="Times New Roman" w:cs="宋体"/>
          <w:sz w:val="24"/>
          <w:szCs w:val="24"/>
        </w:rPr>
        <w:t>）自行下载采购文件。</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3</w:t>
      </w:r>
      <w:r>
        <w:rPr>
          <w:rFonts w:hint="eastAsia" w:ascii="Times New Roman" w:hAnsi="Times New Roman" w:cs="宋体"/>
          <w:b/>
          <w:bCs/>
          <w:sz w:val="24"/>
          <w:szCs w:val="24"/>
        </w:rPr>
        <w:t>、报名方式：请有意参与本项目投标的投标单位于2022年9月25日17时前将加盖投标单位公章的报名表以电子文档形式发送到</w:t>
      </w:r>
      <w:r>
        <w:rPr>
          <w:rFonts w:hint="eastAsia" w:ascii="Times New Roman" w:hAnsi="Times New Roman" w:cs="Times New Roman"/>
          <w:b/>
          <w:bCs/>
          <w:sz w:val="24"/>
          <w:szCs w:val="24"/>
        </w:rPr>
        <w:t>362580477</w:t>
      </w:r>
      <w:r>
        <w:rPr>
          <w:rFonts w:ascii="Times New Roman" w:hAnsi="Times New Roman" w:cs="Times New Roman"/>
          <w:b/>
          <w:bCs/>
          <w:sz w:val="24"/>
          <w:szCs w:val="24"/>
        </w:rPr>
        <w:t>@qq.com</w:t>
      </w:r>
      <w:r>
        <w:rPr>
          <w:rFonts w:hint="eastAsia" w:ascii="Times New Roman" w:hAnsi="Times New Roman" w:cs="宋体"/>
          <w:b/>
          <w:bCs/>
          <w:sz w:val="24"/>
          <w:szCs w:val="24"/>
        </w:rPr>
        <w:t>邮箱。未报名单位不得参加本项目的磋商。</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报名表（格式如下）</w:t>
      </w:r>
    </w:p>
    <w:tbl>
      <w:tblPr>
        <w:tblStyle w:val="18"/>
        <w:tblW w:w="7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190"/>
        <w:gridCol w:w="1512"/>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Pr>
          <w:p>
            <w:pPr>
              <w:spacing w:line="360" w:lineRule="auto"/>
              <w:jc w:val="center"/>
              <w:rPr>
                <w:rFonts w:ascii="Times New Roman" w:hAnsi="Times New Roman" w:cs="Times New Roman"/>
                <w:sz w:val="24"/>
                <w:szCs w:val="24"/>
              </w:rPr>
            </w:pPr>
            <w:r>
              <w:rPr>
                <w:rFonts w:hint="eastAsia" w:ascii="Times New Roman" w:hAnsi="Times New Roman" w:cs="宋体"/>
                <w:sz w:val="24"/>
                <w:szCs w:val="24"/>
              </w:rPr>
              <w:t>序号</w:t>
            </w:r>
          </w:p>
        </w:tc>
        <w:tc>
          <w:tcPr>
            <w:tcW w:w="2190" w:type="dxa"/>
          </w:tcPr>
          <w:p>
            <w:pPr>
              <w:spacing w:line="360" w:lineRule="auto"/>
              <w:jc w:val="center"/>
              <w:rPr>
                <w:rFonts w:ascii="Times New Roman" w:hAnsi="Times New Roman" w:cs="Times New Roman"/>
                <w:sz w:val="24"/>
                <w:szCs w:val="24"/>
              </w:rPr>
            </w:pPr>
            <w:r>
              <w:rPr>
                <w:rFonts w:hint="eastAsia" w:ascii="Times New Roman" w:hAnsi="Times New Roman" w:cs="宋体"/>
                <w:sz w:val="24"/>
                <w:szCs w:val="24"/>
              </w:rPr>
              <w:t>投标单位名称</w:t>
            </w:r>
          </w:p>
        </w:tc>
        <w:tc>
          <w:tcPr>
            <w:tcW w:w="1512" w:type="dxa"/>
          </w:tcPr>
          <w:p>
            <w:pPr>
              <w:spacing w:line="360" w:lineRule="auto"/>
              <w:jc w:val="center"/>
              <w:rPr>
                <w:rFonts w:ascii="Times New Roman" w:hAnsi="Times New Roman" w:cs="Times New Roman"/>
                <w:sz w:val="24"/>
                <w:szCs w:val="24"/>
              </w:rPr>
            </w:pPr>
            <w:r>
              <w:rPr>
                <w:rFonts w:hint="eastAsia" w:ascii="Times New Roman" w:hAnsi="Times New Roman" w:cs="宋体"/>
                <w:sz w:val="24"/>
                <w:szCs w:val="24"/>
              </w:rPr>
              <w:t>联系人</w:t>
            </w:r>
          </w:p>
        </w:tc>
        <w:tc>
          <w:tcPr>
            <w:tcW w:w="3388" w:type="dxa"/>
          </w:tcPr>
          <w:p>
            <w:pPr>
              <w:spacing w:line="360" w:lineRule="auto"/>
              <w:jc w:val="center"/>
              <w:rPr>
                <w:rFonts w:ascii="Times New Roman" w:hAnsi="Times New Roman" w:cs="Times New Roman"/>
                <w:sz w:val="24"/>
                <w:szCs w:val="24"/>
              </w:rPr>
            </w:pPr>
            <w:r>
              <w:rPr>
                <w:rFonts w:hint="eastAsia" w:ascii="Times New Roman" w:hAnsi="Times New Roman" w:cs="宋体"/>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90" w:type="dxa"/>
          </w:tcPr>
          <w:p>
            <w:pPr>
              <w:spacing w:line="360" w:lineRule="auto"/>
              <w:ind w:firstLine="480" w:firstLineChars="200"/>
              <w:jc w:val="center"/>
              <w:rPr>
                <w:rFonts w:ascii="Times New Roman" w:hAnsi="Times New Roman" w:cs="Times New Roman"/>
                <w:sz w:val="24"/>
                <w:szCs w:val="24"/>
              </w:rPr>
            </w:pPr>
          </w:p>
        </w:tc>
        <w:tc>
          <w:tcPr>
            <w:tcW w:w="1512" w:type="dxa"/>
          </w:tcPr>
          <w:p>
            <w:pPr>
              <w:spacing w:line="360" w:lineRule="auto"/>
              <w:ind w:firstLine="480" w:firstLineChars="200"/>
              <w:jc w:val="center"/>
              <w:rPr>
                <w:rFonts w:ascii="Times New Roman" w:hAnsi="Times New Roman" w:cs="Times New Roman"/>
                <w:sz w:val="24"/>
                <w:szCs w:val="24"/>
              </w:rPr>
            </w:pPr>
          </w:p>
        </w:tc>
        <w:tc>
          <w:tcPr>
            <w:tcW w:w="3388" w:type="dxa"/>
          </w:tcPr>
          <w:p>
            <w:pPr>
              <w:spacing w:line="360" w:lineRule="auto"/>
              <w:ind w:firstLine="480" w:firstLineChars="200"/>
              <w:jc w:val="center"/>
              <w:rPr>
                <w:rFonts w:ascii="Times New Roman" w:hAnsi="Times New Roman" w:cs="Times New Roman"/>
                <w:sz w:val="24"/>
                <w:szCs w:val="24"/>
              </w:rPr>
            </w:pPr>
          </w:p>
        </w:tc>
      </w:tr>
    </w:tbl>
    <w:p>
      <w:pPr>
        <w:keepNext/>
        <w:keepLines/>
        <w:spacing w:line="360" w:lineRule="auto"/>
        <w:ind w:firstLine="482" w:firstLineChars="200"/>
        <w:textAlignment w:val="baseline"/>
        <w:rPr>
          <w:rFonts w:ascii="Times New Roman" w:hAnsi="Times New Roman" w:cs="Times New Roman"/>
          <w:b/>
          <w:bCs/>
          <w:kern w:val="0"/>
          <w:sz w:val="24"/>
          <w:szCs w:val="24"/>
        </w:rPr>
      </w:pPr>
      <w:r>
        <w:rPr>
          <w:rFonts w:hint="eastAsia" w:ascii="Times New Roman" w:hAnsi="Times New Roman" w:cs="宋体"/>
          <w:b/>
          <w:bCs/>
          <w:kern w:val="0"/>
          <w:sz w:val="24"/>
          <w:szCs w:val="24"/>
        </w:rPr>
        <w:t>四、</w:t>
      </w:r>
      <w:bookmarkEnd w:id="2"/>
      <w:bookmarkEnd w:id="3"/>
      <w:bookmarkEnd w:id="4"/>
      <w:bookmarkEnd w:id="5"/>
      <w:r>
        <w:rPr>
          <w:rFonts w:hint="eastAsia" w:ascii="Times New Roman" w:hAnsi="Times New Roman" w:cs="宋体"/>
          <w:b/>
          <w:bCs/>
          <w:kern w:val="0"/>
          <w:sz w:val="24"/>
          <w:szCs w:val="24"/>
        </w:rPr>
        <w:t>响应文件提交</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、提交响应文件截止时间：</w:t>
      </w:r>
      <w:r>
        <w:rPr>
          <w:rFonts w:hint="eastAsia" w:ascii="Times New Roman" w:hAnsi="Times New Roman" w:cs="宋体"/>
          <w:sz w:val="24"/>
          <w:szCs w:val="24"/>
          <w:u w:val="single"/>
        </w:rPr>
        <w:t>2022年9月26日9时30分</w:t>
      </w:r>
      <w:r>
        <w:rPr>
          <w:rFonts w:hint="eastAsia" w:ascii="Times New Roman" w:hAnsi="Times New Roman" w:cs="宋体"/>
          <w:sz w:val="24"/>
          <w:szCs w:val="24"/>
        </w:rPr>
        <w:t>（北京时间）。逾时，招标单位将拒绝其接受响应文件纸质文档。</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、提交响应文件地点：</w:t>
      </w:r>
      <w:r>
        <w:rPr>
          <w:rFonts w:hint="eastAsia" w:ascii="Times New Roman" w:hAnsi="Times New Roman" w:cs="宋体"/>
          <w:sz w:val="24"/>
          <w:szCs w:val="24"/>
          <w:u w:val="single"/>
        </w:rPr>
        <w:t>南通市第三人民医院</w:t>
      </w:r>
      <w:r>
        <w:rPr>
          <w:sz w:val="24"/>
          <w:szCs w:val="24"/>
          <w:u w:val="single"/>
        </w:rPr>
        <w:t>5</w:t>
      </w:r>
      <w:r>
        <w:rPr>
          <w:rFonts w:hint="eastAsia" w:ascii="Times New Roman" w:hAnsi="Times New Roman" w:cs="宋体"/>
          <w:sz w:val="24"/>
          <w:szCs w:val="24"/>
          <w:u w:val="single"/>
        </w:rPr>
        <w:t>号楼</w:t>
      </w:r>
      <w:r>
        <w:rPr>
          <w:rFonts w:ascii="Times New Roman" w:hAnsi="Times New Roman" w:cs="Times New Roman"/>
          <w:sz w:val="24"/>
          <w:szCs w:val="24"/>
          <w:u w:val="single"/>
        </w:rPr>
        <w:t>5</w:t>
      </w:r>
      <w:r>
        <w:rPr>
          <w:rFonts w:hint="eastAsia" w:ascii="Times New Roman" w:hAnsi="Times New Roman" w:cs="宋体"/>
          <w:sz w:val="24"/>
          <w:szCs w:val="24"/>
          <w:u w:val="single"/>
        </w:rPr>
        <w:t>楼会议室</w:t>
      </w:r>
      <w:r>
        <w:rPr>
          <w:rFonts w:hint="eastAsia" w:ascii="Times New Roman" w:hAnsi="Times New Roman" w:cs="宋体"/>
          <w:sz w:val="24"/>
          <w:szCs w:val="24"/>
        </w:rPr>
        <w:t>，如有变动另行通知。</w:t>
      </w:r>
    </w:p>
    <w:p>
      <w:pPr>
        <w:keepNext/>
        <w:keepLines/>
        <w:spacing w:line="360" w:lineRule="auto"/>
        <w:ind w:firstLine="482" w:firstLineChars="200"/>
        <w:textAlignment w:val="baseline"/>
        <w:rPr>
          <w:rFonts w:ascii="Times New Roman" w:hAnsi="Times New Roman" w:cs="Times New Roman"/>
          <w:b/>
          <w:bCs/>
          <w:kern w:val="0"/>
          <w:sz w:val="24"/>
          <w:szCs w:val="24"/>
        </w:rPr>
      </w:pPr>
      <w:bookmarkStart w:id="6" w:name="_Toc28359007"/>
      <w:bookmarkStart w:id="7" w:name="_Toc35393794"/>
      <w:bookmarkStart w:id="8" w:name="_Toc28359084"/>
      <w:bookmarkStart w:id="9" w:name="_Toc35393625"/>
      <w:r>
        <w:rPr>
          <w:rFonts w:hint="eastAsia" w:ascii="Times New Roman" w:hAnsi="Times New Roman" w:cs="宋体"/>
          <w:b/>
          <w:bCs/>
          <w:kern w:val="0"/>
          <w:sz w:val="24"/>
          <w:szCs w:val="24"/>
        </w:rPr>
        <w:t>五、开启</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、时间：</w:t>
      </w:r>
      <w:r>
        <w:rPr>
          <w:rFonts w:hint="eastAsia" w:ascii="Times New Roman" w:hAnsi="Times New Roman" w:cs="宋体"/>
          <w:sz w:val="24"/>
          <w:szCs w:val="24"/>
          <w:u w:val="single"/>
        </w:rPr>
        <w:t>2022年9月26日9时30分</w:t>
      </w:r>
      <w:r>
        <w:rPr>
          <w:rFonts w:hint="eastAsia" w:ascii="Times New Roman" w:hAnsi="Times New Roman" w:cs="宋体"/>
          <w:sz w:val="24"/>
          <w:szCs w:val="24"/>
        </w:rPr>
        <w:t>（北京时间）。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、地点：</w:t>
      </w:r>
      <w:r>
        <w:rPr>
          <w:rFonts w:hint="eastAsia" w:ascii="Times New Roman" w:hAnsi="Times New Roman" w:cs="宋体"/>
          <w:sz w:val="24"/>
          <w:szCs w:val="24"/>
          <w:u w:val="single"/>
        </w:rPr>
        <w:t>南通市第三人民医院</w:t>
      </w:r>
      <w:r>
        <w:rPr>
          <w:rFonts w:ascii="Times New Roman" w:hAnsi="Times New Roman" w:cs="Times New Roman"/>
          <w:sz w:val="24"/>
          <w:szCs w:val="24"/>
          <w:u w:val="single"/>
        </w:rPr>
        <w:t>5</w:t>
      </w:r>
      <w:r>
        <w:rPr>
          <w:rFonts w:hint="eastAsia" w:ascii="Times New Roman" w:hAnsi="Times New Roman" w:cs="宋体"/>
          <w:sz w:val="24"/>
          <w:szCs w:val="24"/>
          <w:u w:val="single"/>
        </w:rPr>
        <w:t>号楼</w:t>
      </w:r>
      <w:r>
        <w:rPr>
          <w:rFonts w:ascii="Times New Roman" w:hAnsi="Times New Roman" w:cs="Times New Roman"/>
          <w:sz w:val="24"/>
          <w:szCs w:val="24"/>
          <w:u w:val="single"/>
        </w:rPr>
        <w:t>5</w:t>
      </w:r>
      <w:r>
        <w:rPr>
          <w:rFonts w:hint="eastAsia" w:ascii="Times New Roman" w:hAnsi="Times New Roman" w:cs="宋体"/>
          <w:sz w:val="24"/>
          <w:szCs w:val="24"/>
          <w:u w:val="single"/>
        </w:rPr>
        <w:t>楼会议室</w:t>
      </w:r>
      <w:r>
        <w:rPr>
          <w:rFonts w:hint="eastAsia" w:ascii="Times New Roman" w:hAnsi="Times New Roman" w:cs="宋体"/>
          <w:sz w:val="24"/>
          <w:szCs w:val="24"/>
        </w:rPr>
        <w:t>。</w:t>
      </w:r>
    </w:p>
    <w:p>
      <w:pPr>
        <w:keepNext/>
        <w:keepLines/>
        <w:spacing w:line="360" w:lineRule="auto"/>
        <w:ind w:firstLine="482" w:firstLineChars="200"/>
        <w:textAlignment w:val="baseline"/>
        <w:rPr>
          <w:rFonts w:ascii="Times New Roman" w:hAnsi="Times New Roman" w:cs="Times New Roman"/>
          <w:b/>
          <w:bCs/>
          <w:kern w:val="0"/>
          <w:sz w:val="24"/>
          <w:szCs w:val="24"/>
        </w:rPr>
      </w:pPr>
      <w:r>
        <w:rPr>
          <w:rFonts w:hint="eastAsia" w:ascii="Times New Roman" w:hAnsi="Times New Roman" w:cs="宋体"/>
          <w:b/>
          <w:bCs/>
          <w:kern w:val="0"/>
          <w:sz w:val="24"/>
          <w:szCs w:val="24"/>
        </w:rPr>
        <w:t>六、公告期限</w:t>
      </w:r>
      <w:bookmarkEnd w:id="6"/>
      <w:bookmarkEnd w:id="7"/>
      <w:bookmarkEnd w:id="8"/>
      <w:bookmarkEnd w:id="9"/>
    </w:p>
    <w:p>
      <w:pPr>
        <w:spacing w:line="360" w:lineRule="auto"/>
        <w:ind w:firstLine="480" w:firstLineChars="200"/>
        <w:rPr>
          <w:rFonts w:ascii="Times New Roman" w:hAnsi="Times New Roman" w:cs="Times New Roman"/>
          <w:sz w:val="24"/>
          <w:szCs w:val="24"/>
        </w:rPr>
      </w:pPr>
      <w:r>
        <w:rPr>
          <w:rFonts w:hint="eastAsia" w:ascii="Times New Roman" w:hAnsi="Times New Roman" w:cs="宋体"/>
          <w:kern w:val="0"/>
          <w:sz w:val="24"/>
          <w:szCs w:val="24"/>
        </w:rPr>
        <w:t>自本公告发布之日起</w:t>
      </w:r>
      <w:r>
        <w:rPr>
          <w:rFonts w:ascii="Times New Roman" w:hAnsi="Times New Roman" w:cs="Times New Roman"/>
          <w:kern w:val="0"/>
          <w:sz w:val="24"/>
          <w:szCs w:val="24"/>
        </w:rPr>
        <w:t>3</w:t>
      </w:r>
      <w:r>
        <w:rPr>
          <w:rFonts w:hint="eastAsia" w:ascii="Times New Roman" w:hAnsi="Times New Roman" w:cs="宋体"/>
          <w:kern w:val="0"/>
          <w:sz w:val="24"/>
          <w:szCs w:val="24"/>
        </w:rPr>
        <w:t>个工作日。</w:t>
      </w:r>
    </w:p>
    <w:p>
      <w:pPr>
        <w:spacing w:line="360" w:lineRule="auto"/>
        <w:ind w:firstLine="482" w:firstLineChars="200"/>
        <w:textAlignment w:val="baseline"/>
        <w:rPr>
          <w:rFonts w:ascii="Times New Roman" w:hAnsi="Times New Roman" w:cs="Times New Roman"/>
          <w:sz w:val="24"/>
          <w:szCs w:val="24"/>
        </w:rPr>
      </w:pPr>
      <w:r>
        <w:rPr>
          <w:rFonts w:hint="eastAsia" w:ascii="Times New Roman" w:hAnsi="Times New Roman" w:cs="宋体"/>
          <w:b/>
          <w:bCs/>
          <w:sz w:val="24"/>
          <w:szCs w:val="24"/>
        </w:rPr>
        <w:t>七、其他补充事宜</w:t>
      </w:r>
      <w:bookmarkStart w:id="17" w:name="_GoBack"/>
      <w:bookmarkEnd w:id="17"/>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、本项目不收取磋商保证金。</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、对项目需求部分（投标单位其他资格要求、项目需求、评分标准）的询问、质疑请向招标单位提出，由招标单位负责答复；对项目磋商文件其它部分的询问请向招标</w:t>
      </w:r>
      <w:r>
        <w:rPr>
          <w:rFonts w:hint="eastAsia" w:ascii="Times New Roman" w:hAnsi="Times New Roman" w:cs="宋体"/>
          <w:sz w:val="24"/>
          <w:szCs w:val="24"/>
          <w:lang w:eastAsia="zh-CN"/>
        </w:rPr>
        <w:t>代理</w:t>
      </w:r>
      <w:r>
        <w:rPr>
          <w:rFonts w:hint="eastAsia" w:ascii="Times New Roman" w:hAnsi="Times New Roman" w:cs="宋体"/>
          <w:sz w:val="24"/>
          <w:szCs w:val="24"/>
        </w:rPr>
        <w:t>单位提出。</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投标单位应依照规定提交各类声明函、承诺函，不再同时提供原件备查或提供有关部门出具的相关证明文件。但中标或成交投标单位，应做好提交声明函、承诺函相应原件的核查准备；核查后发现虚假或违背承诺的，依照相关法律法规规定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、针对疫情防控期间，投标单位须知事项：</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各投标单位只允许委派一人参加投标，其余人员一律不得入内。疫情期间，参加投标的授权委托人应出具绿色的行程码和健康码、48小时核酸检测报告，其中来自中高风险地区或健康码为黄码或红码的，投标文件不予以接收。如有隐瞒事实或弄虚作假者将根据法律法规追究相关责任。授权委托人须全程佩戴口罩，并配合防疫检查。对未佩戴口罩或体温异常或不配合防疫检查或未按规定提供相关证明材料者，一律禁止进入开标现场，且不得参加本项目的开标，后果自负。</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八、凡对本次采购提出询问，请按以下方式联系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、招标单位信息</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名称：南通市第三人民医院</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地址：江苏省南通市青年中路</w:t>
      </w:r>
      <w:r>
        <w:rPr>
          <w:rFonts w:ascii="Times New Roman" w:hAnsi="Times New Roman" w:cs="Times New Roman"/>
          <w:sz w:val="24"/>
          <w:szCs w:val="24"/>
        </w:rPr>
        <w:t>60</w:t>
      </w:r>
      <w:r>
        <w:rPr>
          <w:rFonts w:hint="eastAsia" w:ascii="Times New Roman" w:hAnsi="Times New Roman" w:cs="宋体"/>
          <w:sz w:val="24"/>
          <w:szCs w:val="24"/>
        </w:rPr>
        <w:t>号</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联系人：钱科</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联系电话：</w:t>
      </w:r>
      <w:r>
        <w:rPr>
          <w:rFonts w:ascii="Times New Roman" w:hAnsi="Times New Roman" w:cs="Times New Roman"/>
          <w:sz w:val="24"/>
          <w:szCs w:val="24"/>
        </w:rPr>
        <w:t>0513-85116168</w:t>
      </w:r>
    </w:p>
    <w:p>
      <w:pPr>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2、招标代理单位信息</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名称：江苏中房工程咨询有限公司</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地址：江苏省南通市崇川区江海财富大厦A座7楼704</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联系人：陶兰</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联系电话：</w:t>
      </w:r>
      <w:r>
        <w:rPr>
          <w:rFonts w:ascii="Times New Roman" w:hAnsi="Times New Roman" w:cs="Times New Roman"/>
          <w:sz w:val="24"/>
          <w:szCs w:val="24"/>
        </w:rPr>
        <w:t>0513-</w:t>
      </w:r>
      <w:r>
        <w:rPr>
          <w:rFonts w:hint="eastAsia" w:ascii="Times New Roman" w:hAnsi="Times New Roman" w:cs="Times New Roman"/>
          <w:sz w:val="24"/>
          <w:szCs w:val="24"/>
        </w:rPr>
        <w:t>85523366</w:t>
      </w:r>
    </w:p>
    <w:p>
      <w:pPr>
        <w:spacing w:line="360" w:lineRule="auto"/>
        <w:ind w:firstLine="480" w:firstLineChars="200"/>
        <w:rPr>
          <w:rFonts w:ascii="Times New Roman" w:hAnsi="Times New Roman" w:cs="宋体"/>
          <w:sz w:val="24"/>
          <w:szCs w:val="24"/>
        </w:rPr>
      </w:pPr>
    </w:p>
    <w:p>
      <w:pPr>
        <w:widowControl/>
        <w:jc w:val="center"/>
        <w:rPr>
          <w:rFonts w:ascii="Times New Roman" w:hAnsi="Times New Roman" w:cs="Times New Roman"/>
          <w:b/>
          <w:w w:val="80"/>
          <w:sz w:val="48"/>
          <w:szCs w:val="48"/>
        </w:rPr>
      </w:pPr>
      <w:r>
        <w:rPr>
          <w:rFonts w:ascii="Times New Roman" w:hAnsi="Times New Roman" w:cs="Times New Roman"/>
          <w:w w:val="80"/>
          <w:sz w:val="48"/>
          <w:szCs w:val="48"/>
        </w:rPr>
        <w:br w:type="page"/>
      </w:r>
      <w:r>
        <w:rPr>
          <w:rFonts w:hint="eastAsia" w:ascii="Times New Roman" w:hAnsi="Times New Roman" w:cs="宋体"/>
          <w:b/>
          <w:w w:val="80"/>
          <w:sz w:val="48"/>
          <w:szCs w:val="48"/>
        </w:rPr>
        <w:t>第二章</w:t>
      </w:r>
      <w:r>
        <w:rPr>
          <w:rFonts w:ascii="Times New Roman" w:hAnsi="Times New Roman" w:cs="Times New Roman"/>
          <w:b/>
          <w:w w:val="80"/>
          <w:sz w:val="48"/>
          <w:szCs w:val="48"/>
        </w:rPr>
        <w:t xml:space="preserve"> </w:t>
      </w:r>
      <w:r>
        <w:rPr>
          <w:rFonts w:hint="eastAsia" w:ascii="Times New Roman" w:hAnsi="Times New Roman" w:cs="宋体"/>
          <w:b/>
          <w:w w:val="80"/>
          <w:sz w:val="48"/>
          <w:szCs w:val="48"/>
        </w:rPr>
        <w:t>投标单位须知</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一、说明</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、本竞争性磋商文件仅适用于招标单位组织的竞争性磋商招标活动。</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、竞争性磋商活动及因本次磋商产生的合同受中国法律制约和保护。</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、竞争性磋商文件的解释权属于招标单位。</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、投标单位下载磋商文件后，应仔细检查磋商文件的所有内容。如内容中有页码短缺、资格要求以及任何设置有不合理的条件对投标单位实行差别待遇或者歧视待遇的，应在磋商文件发布后的</w:t>
      </w:r>
      <w:r>
        <w:rPr>
          <w:rFonts w:hint="eastAsia" w:ascii="Times New Roman" w:hAnsi="Times New Roman" w:cs="Times New Roman"/>
          <w:sz w:val="24"/>
          <w:szCs w:val="24"/>
        </w:rPr>
        <w:t>3个工作</w:t>
      </w:r>
      <w:r>
        <w:rPr>
          <w:rFonts w:hint="eastAsia" w:ascii="Times New Roman" w:hAnsi="Times New Roman" w:cs="宋体"/>
          <w:sz w:val="24"/>
          <w:szCs w:val="24"/>
        </w:rPr>
        <w:t>日内，以书面形式向招标单位提出询问或疑问，</w:t>
      </w:r>
      <w:r>
        <w:rPr>
          <w:rFonts w:hint="eastAsia" w:ascii="Times New Roman" w:hAnsi="Times New Roman" w:cs="宋体"/>
          <w:sz w:val="24"/>
          <w:szCs w:val="24"/>
          <w:u w:val="double"/>
        </w:rPr>
        <w:t>未在规定的时间内提出询问或疑问的，视同理解并接受本磋商文件的所有内容，因此引起的损失由投标单位自负，而且投标单位不得在磋商结束后针对磋商文件的所有内容提出质疑事项</w:t>
      </w:r>
      <w:r>
        <w:rPr>
          <w:rFonts w:hint="eastAsia" w:ascii="Times New Roman" w:hAnsi="Times New Roman" w:cs="宋体"/>
          <w:sz w:val="24"/>
          <w:szCs w:val="24"/>
        </w:rPr>
        <w:t>。</w:t>
      </w:r>
      <w:r>
        <w:rPr>
          <w:rFonts w:hint="eastAsia" w:ascii="Times New Roman" w:hAnsi="Times New Roman" w:cs="宋体"/>
          <w:b/>
          <w:bCs/>
          <w:sz w:val="24"/>
          <w:szCs w:val="24"/>
        </w:rPr>
        <w:t>非书面形式的不作为日后质疑提出的依据。</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、投标单位应认真审阅磋商文件中所有的事项、格式、条款和规范要求等，如果投标单位没有按照磋商文件要求提交响应文件，或者响应文件没有对磋商文件做出实质性响应，将被拒绝参与项目的磋商。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二、磋商文件的澄清、修改、答疑</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、招标单位有权对发出的磋商文件进行必要的澄清、修改或补充。</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、招标单位对磋商文件的澄清、修改将构成磋商文件的一部分，对响应磋商的投标单位具有约束力。</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、澄清或者修改的内容可能影响到响应文件编制的，招标单位应当在提交响应文件接收截止之日</w:t>
      </w:r>
      <w:r>
        <w:rPr>
          <w:rFonts w:ascii="Times New Roman" w:hAnsi="Times New Roman" w:cs="Times New Roman"/>
          <w:sz w:val="24"/>
          <w:szCs w:val="24"/>
        </w:rPr>
        <w:t>5</w:t>
      </w:r>
      <w:r>
        <w:rPr>
          <w:rFonts w:hint="eastAsia" w:ascii="Times New Roman" w:hAnsi="Times New Roman" w:cs="宋体"/>
          <w:sz w:val="24"/>
          <w:szCs w:val="24"/>
        </w:rPr>
        <w:t>个工作日前，发布澄清或者修改公告，不足</w:t>
      </w:r>
      <w:r>
        <w:rPr>
          <w:rFonts w:ascii="Times New Roman" w:hAnsi="Times New Roman" w:cs="Times New Roman"/>
          <w:sz w:val="24"/>
          <w:szCs w:val="24"/>
        </w:rPr>
        <w:t>5</w:t>
      </w:r>
      <w:r>
        <w:rPr>
          <w:rFonts w:hint="eastAsia" w:ascii="Times New Roman" w:hAnsi="Times New Roman" w:cs="宋体"/>
          <w:sz w:val="24"/>
          <w:szCs w:val="24"/>
        </w:rPr>
        <w:t>个工作日的，当顺延提交响应文件接收截止时间。</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、除非招标单位以书面的形式对磋商文件作出澄清、修改及补充，投标单位对涉及磋商文件的任何推论、理解和结论所造成的结果，均由投标单位自负。</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、招标单位视情组织答疑会。如有产生答疑且对磋商文件内容有修改，招标单位将按照本须知有关规定，以补充通知（公告）的方式发出。</w:t>
      </w:r>
    </w:p>
    <w:p>
      <w:pPr>
        <w:spacing w:line="360" w:lineRule="auto"/>
        <w:ind w:firstLine="482" w:firstLineChars="200"/>
        <w:textAlignment w:val="baseline"/>
        <w:rPr>
          <w:rFonts w:ascii="Times New Roman" w:hAnsi="Times New Roman" w:cs="Times New Roman"/>
          <w:sz w:val="24"/>
          <w:szCs w:val="24"/>
        </w:rPr>
      </w:pPr>
      <w:r>
        <w:rPr>
          <w:rFonts w:hint="eastAsia" w:ascii="Times New Roman" w:hAnsi="Times New Roman" w:cs="宋体"/>
          <w:b/>
          <w:bCs/>
          <w:sz w:val="24"/>
          <w:szCs w:val="24"/>
        </w:rPr>
        <w:t>三、响应文件的编制及装订</w:t>
      </w:r>
    </w:p>
    <w:p>
      <w:pPr>
        <w:spacing w:line="360" w:lineRule="auto"/>
        <w:ind w:firstLine="484" w:firstLineChars="202"/>
        <w:textAlignment w:val="baseline"/>
        <w:rPr>
          <w:rFonts w:ascii="Times New Roman" w:hAnsi="Times New Roman" w:cs="Times New Roman"/>
          <w:sz w:val="24"/>
          <w:szCs w:val="24"/>
        </w:rPr>
      </w:pPr>
      <w:r>
        <w:rPr>
          <w:rFonts w:hint="eastAsia" w:ascii="Times New Roman" w:hAnsi="Times New Roman" w:cs="宋体"/>
          <w:sz w:val="24"/>
          <w:szCs w:val="24"/>
        </w:rPr>
        <w:t>投标单位按磋商文件要求编写响应文件，并牢固装订</w:t>
      </w:r>
      <w:r>
        <w:rPr>
          <w:rFonts w:hint="eastAsia" w:ascii="Times New Roman" w:hAnsi="Times New Roman" w:cs="宋体"/>
          <w:b/>
          <w:sz w:val="24"/>
          <w:szCs w:val="24"/>
        </w:rPr>
        <w:t>（胶装）</w:t>
      </w:r>
      <w:r>
        <w:rPr>
          <w:rFonts w:hint="eastAsia" w:ascii="Times New Roman" w:hAnsi="Times New Roman" w:cs="宋体"/>
          <w:sz w:val="24"/>
          <w:szCs w:val="24"/>
        </w:rPr>
        <w:t>成册。响应文件均需采用</w:t>
      </w:r>
      <w:r>
        <w:rPr>
          <w:rFonts w:ascii="Times New Roman" w:hAnsi="Times New Roman" w:cs="Times New Roman"/>
          <w:sz w:val="24"/>
          <w:szCs w:val="24"/>
        </w:rPr>
        <w:t>A4</w:t>
      </w:r>
      <w:r>
        <w:rPr>
          <w:rFonts w:hint="eastAsia" w:ascii="Times New Roman" w:hAnsi="Times New Roman" w:cs="宋体"/>
          <w:sz w:val="24"/>
          <w:szCs w:val="24"/>
        </w:rPr>
        <w:t>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四、响应文件的份数和签署</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、响应文件由：</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 1 \* GB3 </w:instrText>
      </w:r>
      <w:r>
        <w:rPr>
          <w:rFonts w:ascii="Times New Roman" w:hAnsi="Times New Roman" w:cs="Times New Roman"/>
          <w:sz w:val="20"/>
          <w:szCs w:val="20"/>
        </w:rPr>
        <w:fldChar w:fldCharType="separate"/>
      </w:r>
      <w:r>
        <w:rPr>
          <w:rFonts w:hint="eastAsia" w:ascii="Times New Roman" w:hAnsi="Times New Roman" w:cs="宋体"/>
          <w:sz w:val="24"/>
          <w:szCs w:val="24"/>
        </w:rPr>
        <w:t>①</w:t>
      </w:r>
      <w:r>
        <w:rPr>
          <w:rFonts w:ascii="Times New Roman" w:hAnsi="Times New Roman" w:cs="Times New Roman"/>
          <w:sz w:val="20"/>
          <w:szCs w:val="20"/>
        </w:rPr>
        <w:fldChar w:fldCharType="end"/>
      </w:r>
      <w:r>
        <w:rPr>
          <w:rFonts w:hint="eastAsia" w:ascii="Times New Roman" w:hAnsi="Times New Roman" w:cs="宋体"/>
          <w:sz w:val="24"/>
          <w:szCs w:val="24"/>
        </w:rPr>
        <w:t>资格审查文件、</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 2 \* GB3 </w:instrText>
      </w:r>
      <w:r>
        <w:rPr>
          <w:rFonts w:ascii="Times New Roman" w:hAnsi="Times New Roman" w:cs="Times New Roman"/>
          <w:sz w:val="20"/>
          <w:szCs w:val="20"/>
        </w:rPr>
        <w:fldChar w:fldCharType="separate"/>
      </w:r>
      <w:r>
        <w:rPr>
          <w:rFonts w:hint="eastAsia" w:ascii="Times New Roman" w:hAnsi="Times New Roman" w:cs="宋体"/>
          <w:sz w:val="24"/>
          <w:szCs w:val="24"/>
        </w:rPr>
        <w:t>②</w:t>
      </w:r>
      <w:r>
        <w:rPr>
          <w:rFonts w:ascii="Times New Roman" w:hAnsi="Times New Roman" w:cs="Times New Roman"/>
          <w:sz w:val="20"/>
          <w:szCs w:val="20"/>
        </w:rPr>
        <w:fldChar w:fldCharType="end"/>
      </w:r>
      <w:r>
        <w:rPr>
          <w:rFonts w:hint="eastAsia" w:ascii="Times New Roman" w:hAnsi="Times New Roman" w:cs="宋体"/>
          <w:sz w:val="24"/>
          <w:szCs w:val="24"/>
        </w:rPr>
        <w:t>技术响应文件、③报价响应文件共</w:t>
      </w:r>
      <w:r>
        <w:rPr>
          <w:rFonts w:ascii="Times New Roman" w:hAnsi="Times New Roman" w:cs="Times New Roman"/>
          <w:sz w:val="24"/>
          <w:szCs w:val="24"/>
        </w:rPr>
        <w:t>3</w:t>
      </w:r>
      <w:r>
        <w:rPr>
          <w:rFonts w:hint="eastAsia" w:ascii="Times New Roman" w:hAnsi="Times New Roman" w:cs="宋体"/>
          <w:sz w:val="24"/>
          <w:szCs w:val="24"/>
        </w:rPr>
        <w:t>部分组成（以下由文件序号代称）。</w:t>
      </w:r>
    </w:p>
    <w:p>
      <w:pPr>
        <w:spacing w:line="360" w:lineRule="auto"/>
        <w:ind w:firstLine="480" w:firstLineChars="200"/>
        <w:textAlignment w:val="baseline"/>
        <w:rPr>
          <w:rFonts w:ascii="Times New Roman" w:hAnsi="Times New Roman" w:cs="Times New Roman"/>
          <w:b/>
          <w:bCs/>
          <w:sz w:val="24"/>
          <w:szCs w:val="24"/>
          <w:u w:val="single"/>
        </w:rPr>
      </w:pPr>
      <w:r>
        <w:rPr>
          <w:rFonts w:ascii="Times New Roman" w:hAnsi="Times New Roman" w:cs="Times New Roman"/>
          <w:sz w:val="24"/>
          <w:szCs w:val="24"/>
        </w:rPr>
        <w:t>2</w:t>
      </w:r>
      <w:r>
        <w:rPr>
          <w:rFonts w:hint="eastAsia" w:ascii="Times New Roman" w:hAnsi="Times New Roman" w:cs="宋体"/>
          <w:sz w:val="24"/>
          <w:szCs w:val="24"/>
        </w:rPr>
        <w:t>、</w:t>
      </w:r>
      <w:r>
        <w:rPr>
          <w:rFonts w:hint="eastAsia" w:ascii="Times New Roman" w:hAnsi="Times New Roman" w:cs="宋体"/>
          <w:b/>
          <w:bCs/>
          <w:sz w:val="24"/>
          <w:szCs w:val="24"/>
        </w:rPr>
        <w:t>响应文件均为一式叁份，其中“正本”壹份和“副本”贰份。</w:t>
      </w:r>
    </w:p>
    <w:p>
      <w:pPr>
        <w:spacing w:line="360" w:lineRule="auto"/>
        <w:ind w:firstLine="470" w:firstLineChars="196"/>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、在每份响应文件上要明确标注项目名称、对应的响应文件名称、投标单位的全称、日期、“正本”、“副本”字样。“正本”和“副本”若有差异，概以“正本”为准。</w:t>
      </w:r>
    </w:p>
    <w:p>
      <w:pPr>
        <w:spacing w:line="360" w:lineRule="auto"/>
        <w:ind w:firstLine="470" w:firstLineChars="196"/>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、投标单位可将响应文件正副本统一密封或分别密封，如正本和副本分别密封的，应在封袋上标明正、副本字样。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、响应文件中的所有“正本”，其正文内容须按磋商文件要求由投标单位法定代表人或被授权人签字（或盖章）并加盖单位公章。“副本”可复印，但须加盖单位公章。</w:t>
      </w:r>
    </w:p>
    <w:p>
      <w:pPr>
        <w:spacing w:line="360" w:lineRule="auto"/>
        <w:ind w:firstLine="472" w:firstLineChars="196"/>
        <w:textAlignment w:val="baseline"/>
        <w:rPr>
          <w:rFonts w:ascii="Times New Roman" w:hAnsi="Times New Roman" w:cs="Times New Roman"/>
          <w:b/>
          <w:bCs/>
          <w:sz w:val="24"/>
          <w:szCs w:val="24"/>
        </w:rPr>
      </w:pPr>
      <w:r>
        <w:rPr>
          <w:rFonts w:hint="eastAsia" w:ascii="Times New Roman" w:hAnsi="Times New Roman" w:cs="宋体"/>
          <w:b/>
          <w:bCs/>
          <w:sz w:val="24"/>
          <w:szCs w:val="24"/>
        </w:rPr>
        <w:t>五、响应文件的密封及标记</w:t>
      </w:r>
    </w:p>
    <w:p>
      <w:pPr>
        <w:spacing w:line="360" w:lineRule="auto"/>
        <w:ind w:firstLine="480" w:firstLineChars="200"/>
        <w:textAlignment w:val="baseline"/>
        <w:rPr>
          <w:rFonts w:ascii="Times New Roman" w:hAnsi="Times New Roman" w:cs="Times New Roman"/>
          <w:sz w:val="24"/>
          <w:szCs w:val="24"/>
          <w:u w:val="single"/>
        </w:rPr>
      </w:pPr>
      <w:r>
        <w:rPr>
          <w:rFonts w:ascii="Times New Roman" w:hAnsi="Times New Roman" w:cs="Times New Roman"/>
          <w:sz w:val="24"/>
          <w:szCs w:val="24"/>
        </w:rPr>
        <w:t>1</w:t>
      </w:r>
      <w:r>
        <w:rPr>
          <w:rFonts w:hint="eastAsia" w:ascii="Times New Roman" w:hAnsi="Times New Roman" w:cs="宋体"/>
          <w:sz w:val="24"/>
          <w:szCs w:val="24"/>
        </w:rPr>
        <w:t>、投标单位须将本项目响应文件：</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 1 \* GB3 </w:instrText>
      </w:r>
      <w:r>
        <w:rPr>
          <w:rFonts w:ascii="Times New Roman" w:hAnsi="Times New Roman" w:cs="Times New Roman"/>
          <w:sz w:val="20"/>
          <w:szCs w:val="20"/>
        </w:rPr>
        <w:fldChar w:fldCharType="separate"/>
      </w:r>
      <w:r>
        <w:rPr>
          <w:rFonts w:hint="eastAsia" w:ascii="Times New Roman" w:hAnsi="Times New Roman" w:cs="宋体"/>
          <w:sz w:val="24"/>
          <w:szCs w:val="24"/>
        </w:rPr>
        <w:t>①</w:t>
      </w:r>
      <w:r>
        <w:rPr>
          <w:rFonts w:ascii="Times New Roman" w:hAnsi="Times New Roman" w:cs="Times New Roman"/>
          <w:sz w:val="20"/>
          <w:szCs w:val="20"/>
        </w:rPr>
        <w:fldChar w:fldCharType="end"/>
      </w:r>
      <w:r>
        <w:rPr>
          <w:rFonts w:hint="eastAsia" w:ascii="Times New Roman" w:hAnsi="Times New Roman" w:cs="宋体"/>
          <w:sz w:val="24"/>
          <w:szCs w:val="24"/>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 2 \* GB3 </w:instrText>
      </w:r>
      <w:r>
        <w:rPr>
          <w:rFonts w:ascii="Times New Roman" w:hAnsi="Times New Roman" w:cs="Times New Roman"/>
          <w:sz w:val="20"/>
          <w:szCs w:val="20"/>
        </w:rPr>
        <w:fldChar w:fldCharType="separate"/>
      </w:r>
      <w:r>
        <w:rPr>
          <w:rFonts w:hint="eastAsia" w:ascii="Times New Roman" w:hAnsi="Times New Roman" w:cs="宋体"/>
          <w:sz w:val="24"/>
          <w:szCs w:val="24"/>
        </w:rPr>
        <w:t>②</w:t>
      </w:r>
      <w:r>
        <w:rPr>
          <w:rFonts w:ascii="Times New Roman" w:hAnsi="Times New Roman" w:cs="Times New Roman"/>
          <w:sz w:val="20"/>
          <w:szCs w:val="20"/>
        </w:rPr>
        <w:fldChar w:fldCharType="end"/>
      </w:r>
      <w:r>
        <w:rPr>
          <w:rFonts w:hint="eastAsia" w:ascii="Times New Roman" w:hAnsi="Times New Roman" w:cs="宋体"/>
          <w:sz w:val="24"/>
          <w:szCs w:val="24"/>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3 \* GB3</w:instrText>
      </w:r>
      <w:r>
        <w:rPr>
          <w:rFonts w:ascii="Times New Roman" w:hAnsi="Times New Roman" w:cs="Times New Roman"/>
          <w:sz w:val="20"/>
          <w:szCs w:val="20"/>
        </w:rPr>
        <w:fldChar w:fldCharType="separate"/>
      </w:r>
      <w:r>
        <w:rPr>
          <w:rFonts w:hint="eastAsia" w:ascii="Times New Roman" w:hAnsi="Times New Roman" w:cs="宋体"/>
          <w:sz w:val="24"/>
          <w:szCs w:val="24"/>
        </w:rPr>
        <w:t>③</w:t>
      </w:r>
      <w:r>
        <w:rPr>
          <w:rFonts w:ascii="Times New Roman" w:hAnsi="Times New Roman" w:cs="Times New Roman"/>
          <w:sz w:val="20"/>
          <w:szCs w:val="20"/>
        </w:rPr>
        <w:fldChar w:fldCharType="end"/>
      </w:r>
      <w:r>
        <w:rPr>
          <w:rFonts w:hint="eastAsia" w:ascii="Times New Roman" w:hAnsi="Times New Roman" w:cs="宋体"/>
          <w:b/>
          <w:bCs/>
          <w:sz w:val="24"/>
          <w:szCs w:val="24"/>
        </w:rPr>
        <w:t>单独密封</w:t>
      </w:r>
      <w:r>
        <w:rPr>
          <w:rFonts w:hint="eastAsia" w:ascii="Times New Roman" w:hAnsi="Times New Roman" w:cs="宋体"/>
          <w:sz w:val="24"/>
          <w:szCs w:val="24"/>
        </w:rPr>
        <w:t>。</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、密封后，应在每一份密封的响应文件上明确标注磋商项目名称、响应文件各自对应的名称、投标单位的全称及日期并加盖投标单位公章。</w:t>
      </w:r>
    </w:p>
    <w:p>
      <w:pPr>
        <w:spacing w:line="360" w:lineRule="auto"/>
        <w:ind w:firstLine="482" w:firstLineChars="200"/>
        <w:textAlignment w:val="baseline"/>
        <w:rPr>
          <w:rFonts w:ascii="Times New Roman" w:hAnsi="Times New Roman" w:cs="Times New Roman"/>
          <w:sz w:val="24"/>
          <w:szCs w:val="24"/>
        </w:rPr>
      </w:pPr>
      <w:r>
        <w:rPr>
          <w:rFonts w:hint="eastAsia" w:ascii="Times New Roman" w:hAnsi="Times New Roman" w:cs="宋体"/>
          <w:b/>
          <w:bCs/>
          <w:sz w:val="24"/>
          <w:szCs w:val="24"/>
        </w:rPr>
        <w:t>【特别提醒】</w:t>
      </w:r>
      <w:r>
        <w:rPr>
          <w:rFonts w:hint="eastAsia" w:ascii="Times New Roman" w:hAnsi="Times New Roman" w:cs="宋体"/>
          <w:sz w:val="24"/>
          <w:szCs w:val="24"/>
        </w:rPr>
        <w:t>响应文件中的</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 1 \* GB3 </w:instrText>
      </w:r>
      <w:r>
        <w:rPr>
          <w:rFonts w:ascii="Times New Roman" w:hAnsi="Times New Roman" w:cs="Times New Roman"/>
          <w:sz w:val="20"/>
          <w:szCs w:val="20"/>
        </w:rPr>
        <w:fldChar w:fldCharType="separate"/>
      </w:r>
      <w:r>
        <w:rPr>
          <w:rFonts w:hint="eastAsia" w:ascii="Times New Roman" w:hAnsi="Times New Roman" w:cs="宋体"/>
          <w:sz w:val="24"/>
          <w:szCs w:val="24"/>
        </w:rPr>
        <w:t>①</w:t>
      </w:r>
      <w:r>
        <w:rPr>
          <w:rFonts w:ascii="Times New Roman" w:hAnsi="Times New Roman" w:cs="Times New Roman"/>
          <w:sz w:val="20"/>
          <w:szCs w:val="20"/>
        </w:rPr>
        <w:fldChar w:fldCharType="end"/>
      </w:r>
      <w:r>
        <w:rPr>
          <w:rFonts w:hint="eastAsia" w:ascii="Times New Roman" w:hAnsi="Times New Roman" w:cs="宋体"/>
          <w:sz w:val="24"/>
          <w:szCs w:val="24"/>
        </w:rPr>
        <w:t>和</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 2 \* GB3 </w:instrText>
      </w:r>
      <w:r>
        <w:rPr>
          <w:rFonts w:ascii="Times New Roman" w:hAnsi="Times New Roman" w:cs="Times New Roman"/>
          <w:sz w:val="20"/>
          <w:szCs w:val="20"/>
        </w:rPr>
        <w:fldChar w:fldCharType="separate"/>
      </w:r>
      <w:r>
        <w:rPr>
          <w:rFonts w:hint="eastAsia" w:ascii="Times New Roman" w:hAnsi="Times New Roman" w:cs="宋体"/>
          <w:sz w:val="24"/>
          <w:szCs w:val="24"/>
        </w:rPr>
        <w:t>②</w:t>
      </w:r>
      <w:r>
        <w:rPr>
          <w:rFonts w:ascii="Times New Roman" w:hAnsi="Times New Roman" w:cs="Times New Roman"/>
          <w:sz w:val="20"/>
          <w:szCs w:val="20"/>
        </w:rPr>
        <w:fldChar w:fldCharType="end"/>
      </w:r>
      <w:r>
        <w:rPr>
          <w:rFonts w:hint="eastAsia" w:ascii="Times New Roman" w:hAnsi="Times New Roman"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cs="Times New Roman"/>
          <w:b/>
          <w:bCs/>
          <w:sz w:val="24"/>
          <w:szCs w:val="24"/>
        </w:rPr>
      </w:pPr>
      <w:r>
        <w:rPr>
          <w:rFonts w:hint="eastAsia" w:ascii="Times New Roman" w:hAnsi="Times New Roman" w:cs="宋体"/>
          <w:b/>
          <w:bCs/>
          <w:sz w:val="24"/>
          <w:szCs w:val="24"/>
        </w:rPr>
        <w:t>六、磋商报价</w:t>
      </w:r>
    </w:p>
    <w:p>
      <w:pPr>
        <w:spacing w:line="360" w:lineRule="auto"/>
        <w:ind w:firstLine="494" w:firstLineChars="206"/>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、报价投标单位应对所要采购的全部内容进行报价，一个标的只允许一个报价，只报其中部分内容的或出现选择性报价，将被视为无效报价。</w:t>
      </w:r>
    </w:p>
    <w:p>
      <w:pPr>
        <w:spacing w:line="360" w:lineRule="auto"/>
        <w:ind w:firstLine="494" w:firstLineChars="206"/>
        <w:textAlignment w:val="baseline"/>
        <w:rPr>
          <w:rFonts w:ascii="Times New Roman" w:hAnsi="Times New Roman" w:cs="宋体"/>
          <w:sz w:val="24"/>
          <w:szCs w:val="24"/>
        </w:rPr>
      </w:pPr>
      <w:r>
        <w:rPr>
          <w:rFonts w:ascii="Times New Roman" w:hAnsi="Times New Roman" w:cs="Times New Roman"/>
          <w:sz w:val="24"/>
          <w:szCs w:val="24"/>
        </w:rPr>
        <w:t>2</w:t>
      </w:r>
      <w:r>
        <w:rPr>
          <w:rFonts w:hint="eastAsia" w:ascii="Times New Roman" w:hAnsi="Times New Roman" w:cs="宋体"/>
          <w:sz w:val="24"/>
          <w:szCs w:val="24"/>
        </w:rPr>
        <w:t>、磋商报价均以人民币为报价的币种。</w:t>
      </w:r>
    </w:p>
    <w:p>
      <w:pPr>
        <w:spacing w:line="360" w:lineRule="auto"/>
        <w:ind w:firstLine="494" w:firstLineChars="206"/>
        <w:textAlignment w:val="baseline"/>
        <w:rPr>
          <w:rFonts w:ascii="Times New Roman" w:hAnsi="Times New Roman" w:cs="Times New Roman"/>
          <w:sz w:val="24"/>
          <w:szCs w:val="24"/>
        </w:rPr>
      </w:pPr>
      <w:r>
        <w:rPr>
          <w:rFonts w:hint="eastAsia" w:ascii="Times New Roman" w:hAnsi="Times New Roman" w:cs="宋体"/>
          <w:sz w:val="24"/>
          <w:szCs w:val="24"/>
        </w:rPr>
        <w:t>3、磋商报价表必须加盖单位公章且必须经法定代表人或被授权人签字或盖章。</w:t>
      </w:r>
    </w:p>
    <w:p>
      <w:pPr>
        <w:spacing w:line="360" w:lineRule="auto"/>
        <w:ind w:firstLine="494" w:firstLineChars="206"/>
        <w:textAlignment w:val="baseline"/>
        <w:rPr>
          <w:rFonts w:ascii="Times New Roman" w:hAnsi="Times New Roman" w:cs="Times New Roman"/>
          <w:sz w:val="24"/>
          <w:szCs w:val="24"/>
        </w:rPr>
      </w:pPr>
      <w:r>
        <w:rPr>
          <w:rFonts w:hint="eastAsia" w:ascii="Times New Roman" w:hAnsi="Times New Roman" w:cs="Times New Roman"/>
          <w:sz w:val="24"/>
          <w:szCs w:val="24"/>
        </w:rPr>
        <w:t>4</w:t>
      </w:r>
      <w:r>
        <w:rPr>
          <w:rFonts w:hint="eastAsia" w:ascii="Times New Roman" w:hAnsi="Times New Roman" w:cs="宋体"/>
          <w:sz w:val="24"/>
          <w:szCs w:val="24"/>
        </w:rPr>
        <w:t>、投标单位须根据苏价服【</w:t>
      </w:r>
      <w:r>
        <w:rPr>
          <w:rFonts w:ascii="Times New Roman" w:hAnsi="Times New Roman" w:cs="Times New Roman"/>
          <w:sz w:val="24"/>
          <w:szCs w:val="24"/>
        </w:rPr>
        <w:t>2014</w:t>
      </w:r>
      <w:r>
        <w:rPr>
          <w:rFonts w:hint="eastAsia" w:ascii="Times New Roman" w:hAnsi="Times New Roman" w:cs="宋体"/>
          <w:sz w:val="24"/>
          <w:szCs w:val="24"/>
        </w:rPr>
        <w:t>】</w:t>
      </w:r>
      <w:r>
        <w:rPr>
          <w:rFonts w:ascii="Times New Roman" w:hAnsi="Times New Roman" w:cs="Times New Roman"/>
          <w:sz w:val="24"/>
          <w:szCs w:val="24"/>
        </w:rPr>
        <w:t>383</w:t>
      </w:r>
      <w:r>
        <w:rPr>
          <w:rFonts w:hint="eastAsia" w:ascii="Times New Roman" w:hAnsi="Times New Roman" w:cs="宋体"/>
          <w:sz w:val="24"/>
          <w:szCs w:val="24"/>
        </w:rPr>
        <w:t>号文规定标准，</w:t>
      </w:r>
      <w:r>
        <w:rPr>
          <w:rFonts w:hint="eastAsia" w:ascii="宋体" w:hAnsi="宋体" w:cs="宋体"/>
          <w:sz w:val="24"/>
          <w:szCs w:val="24"/>
        </w:rPr>
        <w:t>对招标内容审慎考虑，按下浮率方式，并约定下浮率为正数，对造价咨询费作报价。最终中标的三家中标单位的中标下浮率，按该三家单位的下浮率的算术平均值四舍五入取整计取，即三家单位的下浮率均一样。请各投标单位在投标时充分考虑本条款，投标单位投标即为完全响应本条款，中标后如有异议，招标人有权取消其中标资格。</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Times New Roman"/>
          <w:sz w:val="24"/>
          <w:szCs w:val="24"/>
        </w:rPr>
        <w:t>5</w:t>
      </w:r>
      <w:r>
        <w:rPr>
          <w:rFonts w:hint="eastAsia" w:ascii="Times New Roman" w:hAnsi="Times New Roman" w:cs="宋体"/>
          <w:sz w:val="24"/>
          <w:szCs w:val="24"/>
        </w:rPr>
        <w:t>、投标单位应详细阅读竞争性磋商文件的全部内容，根据服务项目需求，准确制定相关工作方案等，必须对本服务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cs="Times New Roman"/>
          <w:sz w:val="24"/>
          <w:szCs w:val="24"/>
        </w:rPr>
      </w:pPr>
      <w:r>
        <w:rPr>
          <w:rFonts w:hint="eastAsia" w:ascii="Times New Roman" w:hAnsi="Times New Roman" w:cs="Times New Roman"/>
          <w:sz w:val="24"/>
          <w:szCs w:val="24"/>
        </w:rPr>
        <w:t>6</w:t>
      </w:r>
      <w:r>
        <w:rPr>
          <w:rFonts w:hint="eastAsia" w:ascii="Times New Roman" w:hAnsi="Times New Roman" w:cs="宋体"/>
          <w:sz w:val="24"/>
          <w:szCs w:val="24"/>
        </w:rPr>
        <w:t>、除非在磋商中磋商小组对招标单位需求内容作了调整增加，或对招标内容作了实质性变更，否则</w:t>
      </w:r>
      <w:r>
        <w:rPr>
          <w:rFonts w:hint="eastAsia" w:ascii="Times New Roman" w:hAnsi="Times New Roman" w:cs="宋体"/>
          <w:b/>
          <w:bCs/>
          <w:sz w:val="24"/>
          <w:szCs w:val="24"/>
        </w:rPr>
        <w:t>招标单位不接受投标单位高于自己前一轮的磋商报价。</w:t>
      </w:r>
    </w:p>
    <w:p>
      <w:pPr>
        <w:spacing w:line="360" w:lineRule="auto"/>
        <w:ind w:firstLine="494" w:firstLineChars="206"/>
        <w:textAlignment w:val="baseline"/>
        <w:rPr>
          <w:rFonts w:ascii="Times New Roman" w:hAnsi="Times New Roman" w:cs="Times New Roman"/>
          <w:sz w:val="24"/>
          <w:szCs w:val="24"/>
        </w:rPr>
      </w:pPr>
      <w:r>
        <w:rPr>
          <w:rFonts w:hint="eastAsia" w:ascii="Times New Roman" w:hAnsi="Times New Roman" w:cs="Times New Roman"/>
          <w:sz w:val="24"/>
          <w:szCs w:val="24"/>
        </w:rPr>
        <w:t>7</w:t>
      </w:r>
      <w:r>
        <w:rPr>
          <w:rFonts w:hint="eastAsia" w:ascii="Times New Roman" w:hAnsi="Times New Roman" w:cs="宋体"/>
          <w:sz w:val="24"/>
          <w:szCs w:val="24"/>
        </w:rPr>
        <w:t>、竞争性磋商的最终报价为成交价。同时，投标单位的最终成交价在合同实施期间不因市场变化因素而变动。</w:t>
      </w:r>
    </w:p>
    <w:p>
      <w:pPr>
        <w:spacing w:line="360" w:lineRule="auto"/>
        <w:ind w:firstLine="494" w:firstLineChars="206"/>
        <w:textAlignment w:val="baseline"/>
        <w:rPr>
          <w:rFonts w:ascii="Times New Roman" w:hAnsi="Times New Roman" w:cs="Times New Roman"/>
          <w:sz w:val="24"/>
          <w:szCs w:val="24"/>
        </w:rPr>
      </w:pPr>
      <w:r>
        <w:rPr>
          <w:rFonts w:hint="eastAsia" w:ascii="Times New Roman" w:hAnsi="Times New Roman" w:cs="Times New Roman"/>
          <w:sz w:val="24"/>
          <w:szCs w:val="24"/>
        </w:rPr>
        <w:t>8</w:t>
      </w:r>
      <w:r>
        <w:rPr>
          <w:rFonts w:hint="eastAsia" w:ascii="Times New Roman" w:hAnsi="Times New Roman" w:cs="宋体"/>
          <w:sz w:val="24"/>
          <w:szCs w:val="24"/>
        </w:rPr>
        <w:t>、最终报价将作为磋商小组评定成交投标单位的依据。</w:t>
      </w:r>
    </w:p>
    <w:p>
      <w:pPr>
        <w:spacing w:line="360" w:lineRule="auto"/>
        <w:ind w:firstLine="496" w:firstLineChars="206"/>
        <w:textAlignment w:val="baseline"/>
        <w:rPr>
          <w:rFonts w:ascii="Times New Roman" w:hAnsi="Times New Roman" w:cs="Times New Roman"/>
          <w:b/>
          <w:bCs/>
          <w:sz w:val="24"/>
          <w:szCs w:val="24"/>
        </w:rPr>
      </w:pPr>
      <w:r>
        <w:rPr>
          <w:rFonts w:hint="eastAsia" w:ascii="Times New Roman" w:hAnsi="Times New Roman" w:cs="宋体"/>
          <w:b/>
          <w:bCs/>
          <w:sz w:val="24"/>
          <w:szCs w:val="24"/>
        </w:rPr>
        <w:t>七、联合体参与磋商</w:t>
      </w:r>
    </w:p>
    <w:p>
      <w:pPr>
        <w:spacing w:line="360" w:lineRule="auto"/>
        <w:ind w:firstLine="484" w:firstLineChars="202"/>
        <w:textAlignment w:val="baseline"/>
        <w:rPr>
          <w:rFonts w:ascii="Times New Roman" w:hAnsi="Times New Roman" w:cs="Times New Roman"/>
          <w:sz w:val="24"/>
          <w:szCs w:val="24"/>
        </w:rPr>
      </w:pPr>
      <w:r>
        <w:rPr>
          <w:rFonts w:hint="eastAsia" w:ascii="Times New Roman" w:hAnsi="Times New Roman"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cs="宋体"/>
          <w:b/>
          <w:bCs/>
          <w:sz w:val="24"/>
          <w:szCs w:val="24"/>
        </w:rPr>
      </w:pPr>
      <w:r>
        <w:rPr>
          <w:rFonts w:hint="eastAsia" w:ascii="Times New Roman" w:hAnsi="Times New Roman" w:cs="宋体"/>
          <w:b/>
          <w:bCs/>
          <w:sz w:val="24"/>
          <w:szCs w:val="24"/>
        </w:rPr>
        <w:t>八、投标文件的有效期</w:t>
      </w:r>
    </w:p>
    <w:p>
      <w:pPr>
        <w:snapToGrid w:val="0"/>
        <w:spacing w:line="460" w:lineRule="exact"/>
        <w:ind w:firstLine="480" w:firstLineChars="200"/>
        <w:rPr>
          <w:rFonts w:ascii="宋体" w:hAnsi="宋体" w:cs="宋体"/>
          <w:sz w:val="24"/>
        </w:rPr>
      </w:pPr>
      <w:r>
        <w:rPr>
          <w:rFonts w:hint="eastAsia" w:ascii="宋体" w:hAnsi="宋体" w:cs="宋体"/>
          <w:sz w:val="24"/>
        </w:rPr>
        <w:t>1、从投标文件接收截止之日算起，</w:t>
      </w:r>
      <w:r>
        <w:rPr>
          <w:rFonts w:hint="eastAsia" w:ascii="宋体" w:hAnsi="宋体" w:cs="宋体"/>
          <w:b/>
          <w:sz w:val="24"/>
        </w:rPr>
        <w:t>45</w:t>
      </w:r>
      <w:r>
        <w:rPr>
          <w:rFonts w:hint="eastAsia" w:ascii="宋体" w:hAnsi="宋体" w:cs="宋体"/>
          <w:sz w:val="24"/>
        </w:rPr>
        <w:t>个“日历天”内投标书应保持有效。有效期短于这个规定期限的，投标将被拒绝。</w:t>
      </w:r>
    </w:p>
    <w:p>
      <w:pPr>
        <w:snapToGrid w:val="0"/>
        <w:spacing w:line="460" w:lineRule="exact"/>
        <w:ind w:firstLine="470" w:firstLineChars="196"/>
        <w:outlineLvl w:val="1"/>
        <w:rPr>
          <w:rFonts w:ascii="宋体" w:hAnsi="宋体" w:cs="宋体"/>
          <w:b/>
          <w:sz w:val="24"/>
        </w:rPr>
      </w:pPr>
      <w:r>
        <w:rPr>
          <w:rFonts w:hint="eastAsia" w:ascii="宋体" w:hAnsi="宋体" w:cs="宋体"/>
          <w:sz w:val="24"/>
        </w:rPr>
        <w:t>2、在特殊情况下，招标代理机构可与投标单位协商延长投标书的有效期。这种要求和答复都应以书面、传真、或电报的形式进行。同意延长有效期的投标单位不能修改投标文件，拒绝接受延期要求的投标单位的投标书将被拒绝。</w:t>
      </w:r>
    </w:p>
    <w:p>
      <w:pPr>
        <w:spacing w:line="360" w:lineRule="auto"/>
        <w:ind w:firstLine="482" w:firstLineChars="200"/>
        <w:textAlignment w:val="baseline"/>
        <w:rPr>
          <w:rFonts w:ascii="Times New Roman" w:hAnsi="Times New Roman" w:cs="Times New Roman"/>
          <w:sz w:val="24"/>
          <w:szCs w:val="24"/>
        </w:rPr>
      </w:pPr>
      <w:r>
        <w:rPr>
          <w:rFonts w:hint="eastAsia" w:ascii="Times New Roman" w:hAnsi="Times New Roman" w:cs="宋体"/>
          <w:b/>
          <w:bCs/>
          <w:sz w:val="24"/>
          <w:szCs w:val="24"/>
        </w:rPr>
        <w:t>九、响应文件及</w:t>
      </w:r>
      <w:r>
        <w:rPr>
          <w:rFonts w:hint="eastAsia" w:ascii="Times New Roman" w:hAnsi="Times New Roman" w:cs="宋体"/>
          <w:b/>
          <w:bCs/>
          <w:kern w:val="0"/>
          <w:sz w:val="24"/>
          <w:szCs w:val="24"/>
        </w:rPr>
        <w:t>磋商</w:t>
      </w:r>
      <w:r>
        <w:rPr>
          <w:rFonts w:hint="eastAsia" w:ascii="Times New Roman" w:hAnsi="Times New Roman" w:cs="宋体"/>
          <w:b/>
          <w:bCs/>
          <w:sz w:val="24"/>
          <w:szCs w:val="24"/>
        </w:rPr>
        <w:t>费用</w:t>
      </w:r>
    </w:p>
    <w:p>
      <w:pPr>
        <w:spacing w:line="360" w:lineRule="auto"/>
        <w:ind w:firstLine="460" w:firstLineChars="192"/>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、磋商程序顺利进行后，除投标单位的原件可退回外，其余所有的响应文件都将作为档案保存，不论成交与否，招标单位不退回。</w:t>
      </w:r>
    </w:p>
    <w:p>
      <w:pPr>
        <w:spacing w:line="360" w:lineRule="auto"/>
        <w:ind w:firstLine="460" w:firstLineChars="192"/>
        <w:textAlignment w:val="baseline"/>
        <w:rPr>
          <w:rFonts w:ascii="Times New Roman" w:hAnsi="Times New Roman" w:cs="宋体"/>
          <w:sz w:val="24"/>
          <w:szCs w:val="24"/>
        </w:rPr>
      </w:pPr>
      <w:r>
        <w:rPr>
          <w:rFonts w:ascii="Times New Roman" w:hAnsi="Times New Roman" w:cs="Times New Roman"/>
          <w:sz w:val="24"/>
          <w:szCs w:val="24"/>
        </w:rPr>
        <w:t>2</w:t>
      </w:r>
      <w:r>
        <w:rPr>
          <w:rFonts w:hint="eastAsia" w:ascii="Times New Roman" w:hAnsi="Times New Roman" w:cs="宋体"/>
          <w:sz w:val="24"/>
          <w:szCs w:val="24"/>
        </w:rPr>
        <w:t>、无论磋商过程和结果如何，参加项目磋商的投标单位自行承担与本次项目磋商有关的全部费用。</w:t>
      </w:r>
    </w:p>
    <w:p>
      <w:pPr>
        <w:spacing w:line="360" w:lineRule="auto"/>
        <w:ind w:firstLine="460" w:firstLineChars="192"/>
        <w:textAlignment w:val="baseline"/>
        <w:rPr>
          <w:rFonts w:ascii="Times New Roman" w:hAnsi="Times New Roman" w:cs="宋体"/>
          <w:sz w:val="24"/>
          <w:szCs w:val="24"/>
        </w:rPr>
      </w:pPr>
      <w:r>
        <w:rPr>
          <w:rFonts w:hint="eastAsia" w:ascii="Times New Roman" w:hAnsi="Times New Roman" w:cs="宋体"/>
          <w:sz w:val="24"/>
          <w:szCs w:val="24"/>
        </w:rPr>
        <w:t>3、本项目招标文件费用为300元/家，各投标单位在递交响应文件的同时将费用递交给招标代理公司，无论投标结果如何，该费用均不退还。</w:t>
      </w:r>
    </w:p>
    <w:p>
      <w:pPr>
        <w:spacing w:line="360" w:lineRule="auto"/>
        <w:ind w:firstLine="460" w:firstLineChars="192"/>
        <w:textAlignment w:val="baseline"/>
        <w:rPr>
          <w:rFonts w:ascii="Times New Roman" w:hAnsi="Times New Roman" w:cs="Times New Roman"/>
          <w:sz w:val="24"/>
          <w:szCs w:val="24"/>
        </w:rPr>
      </w:pPr>
      <w:r>
        <w:rPr>
          <w:rFonts w:hint="eastAsia" w:ascii="Times New Roman" w:hAnsi="Times New Roman" w:cs="宋体"/>
          <w:sz w:val="24"/>
          <w:szCs w:val="24"/>
        </w:rPr>
        <w:t>4、本项目由中标单位承担招标代理费，招标代理费为2100元，在领取中标通知书前递交给招标代理公司。</w:t>
      </w:r>
    </w:p>
    <w:p>
      <w:pPr>
        <w:widowControl/>
        <w:jc w:val="center"/>
        <w:rPr>
          <w:rFonts w:ascii="Times New Roman" w:hAnsi="Times New Roman" w:cs="Times New Roman"/>
          <w:b/>
          <w:w w:val="80"/>
          <w:sz w:val="48"/>
          <w:szCs w:val="48"/>
        </w:rPr>
      </w:pPr>
      <w:r>
        <w:rPr>
          <w:rFonts w:ascii="Times New Roman" w:hAnsi="Times New Roman" w:cs="Times New Roman"/>
          <w:w w:val="80"/>
          <w:sz w:val="48"/>
          <w:szCs w:val="48"/>
        </w:rPr>
        <w:br w:type="page"/>
      </w:r>
      <w:r>
        <w:rPr>
          <w:rFonts w:hint="eastAsia" w:ascii="Times New Roman" w:hAnsi="Times New Roman" w:cs="宋体"/>
          <w:b/>
          <w:w w:val="80"/>
          <w:sz w:val="48"/>
          <w:szCs w:val="48"/>
        </w:rPr>
        <w:t>第三章</w:t>
      </w:r>
      <w:r>
        <w:rPr>
          <w:rFonts w:ascii="Times New Roman" w:hAnsi="Times New Roman" w:cs="Times New Roman"/>
          <w:b/>
          <w:w w:val="80"/>
          <w:sz w:val="48"/>
          <w:szCs w:val="48"/>
        </w:rPr>
        <w:t xml:space="preserve"> </w:t>
      </w:r>
      <w:r>
        <w:rPr>
          <w:rFonts w:hint="eastAsia" w:ascii="Times New Roman" w:hAnsi="Times New Roman" w:cs="宋体"/>
          <w:b/>
          <w:w w:val="80"/>
          <w:sz w:val="48"/>
          <w:szCs w:val="48"/>
        </w:rPr>
        <w:t>项目需求</w:t>
      </w:r>
    </w:p>
    <w:p>
      <w:pPr>
        <w:spacing w:line="360" w:lineRule="auto"/>
        <w:ind w:firstLine="482" w:firstLineChars="200"/>
        <w:rPr>
          <w:rFonts w:ascii="Times New Roman" w:hAnsi="Times New Roman" w:cs="Times New Roman"/>
          <w:b/>
          <w:bCs/>
          <w:sz w:val="24"/>
          <w:szCs w:val="24"/>
        </w:rPr>
      </w:pPr>
      <w:r>
        <w:rPr>
          <w:rFonts w:hint="eastAsia" w:ascii="Times New Roman" w:hAnsi="Times New Roman" w:cs="宋体"/>
          <w:b/>
          <w:bCs/>
          <w:sz w:val="24"/>
          <w:szCs w:val="24"/>
        </w:rPr>
        <w:t>一、项目概况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、项目地点：南通市第三人民医院。</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招标范围：南通市第三人民医院招标落实三家服务单位，提供本院工程造价咨询服务，主要包含招标控制价编制及审核、工程结算审核工作咨询服务，出具各单项工程项目的工程造价咨询成果资料和电子版成果资料。</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服务期限：本项目服务周期为三年，首次合同签订一年。一年服务期满，在招标单位考核合格，服务满意，且成交商不增加费用的前提下，可续签合同，可连续续签两次。考核不合格，招标单位可以重新组织招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、质量标准：</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1</w:t>
      </w:r>
      <w:r>
        <w:rPr>
          <w:rFonts w:hint="eastAsia" w:ascii="Times New Roman" w:hAnsi="Times New Roman" w:cs="宋体"/>
          <w:sz w:val="24"/>
          <w:szCs w:val="24"/>
        </w:rPr>
        <w:t>）满足现行国家、省、市相关规范要求。</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2</w:t>
      </w:r>
      <w:r>
        <w:rPr>
          <w:rFonts w:hint="eastAsia" w:ascii="Times New Roman" w:hAnsi="Times New Roman" w:cs="宋体"/>
          <w:sz w:val="24"/>
          <w:szCs w:val="24"/>
        </w:rPr>
        <w:t>）根据采购的要求提交咨询服务项目所需的报告、文件资料。</w:t>
      </w:r>
    </w:p>
    <w:p>
      <w:pPr>
        <w:spacing w:line="360" w:lineRule="auto"/>
        <w:ind w:firstLine="482" w:firstLineChars="200"/>
        <w:rPr>
          <w:rFonts w:ascii="Times New Roman" w:hAnsi="Times New Roman" w:cs="Times New Roman"/>
          <w:sz w:val="24"/>
          <w:szCs w:val="24"/>
        </w:rPr>
      </w:pPr>
      <w:r>
        <w:rPr>
          <w:rFonts w:hint="eastAsia" w:ascii="Times New Roman" w:hAnsi="Times New Roman" w:cs="宋体"/>
          <w:b/>
          <w:bCs/>
          <w:sz w:val="24"/>
          <w:szCs w:val="24"/>
        </w:rPr>
        <w:t>二、服务要求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、投标单位在响应文件中要列明拟派本院工程造价咨询项目组人员组成，项目组人员不得少于</w:t>
      </w:r>
      <w:r>
        <w:rPr>
          <w:rFonts w:ascii="Times New Roman" w:hAnsi="Times New Roman" w:cs="Times New Roman"/>
          <w:sz w:val="24"/>
          <w:szCs w:val="24"/>
        </w:rPr>
        <w:t>3</w:t>
      </w:r>
      <w:r>
        <w:rPr>
          <w:rFonts w:hint="eastAsia" w:ascii="Times New Roman" w:hAnsi="Times New Roman" w:cs="宋体"/>
          <w:sz w:val="24"/>
          <w:szCs w:val="24"/>
        </w:rPr>
        <w:t>人，其中项目组负责人必须具有工程师职称和一级注册造价工程师执业资格，其他成员必须具有二级或以上注册造价工程师执业资格。所有拟派人员必须具有从事类似工程项目造价咨询的经历，具有良好的思想品德、专业素质、业务技能，较好的语言表达能力和沟通协调能力。</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、投标单位中标后不允许转包、分包。响应文件中列明的造价咨询项目成员相对固定，不得随意更换，尤其是项目负责人，无招标单位同意不得变更。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、所有的工程审计，工程造价咨询项目组成员都必须在我院审计科及相关科室人员陪同下到现场勘测，并在审计报告中提交勘测资料。</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、成交商必须严格按有关标准和规范要求，在接到业主通知规定时间内到达招标单位指定的地点接受造价咨询任务，并在规定的时间内准确完成工程量清单和标底编制任务或标底审核、结算审核等造价咨询服务。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、保密要求：不得向施工投标单位透露标底编制的任何信息。如有提供不实或内容虚假的报告结果，以及自行对外提供项目标底编制报告等情况，招标单位将终止委托。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、投标单位必须对报告书的真实性、完整性、可靠性负责。如有违法违规行为，经查实，实行一票否决，终止委托。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宋体"/>
          <w:sz w:val="24"/>
          <w:szCs w:val="24"/>
        </w:rPr>
        <w:t>、</w:t>
      </w:r>
      <w:r>
        <w:rPr>
          <w:rFonts w:hint="eastAsia" w:ascii="Times New Roman" w:hAnsi="Times New Roman" w:cs="宋体"/>
          <w:kern w:val="0"/>
          <w:sz w:val="24"/>
          <w:szCs w:val="24"/>
          <w:lang w:val="zh-CN"/>
        </w:rPr>
        <w:t>本项目</w:t>
      </w:r>
      <w:r>
        <w:rPr>
          <w:rFonts w:hint="eastAsia" w:ascii="Times New Roman" w:hAnsi="Times New Roman" w:cs="宋体"/>
          <w:kern w:val="0"/>
          <w:sz w:val="24"/>
          <w:szCs w:val="24"/>
        </w:rPr>
        <w:t>服务期间</w:t>
      </w:r>
      <w:r>
        <w:rPr>
          <w:rFonts w:hint="eastAsia" w:ascii="Times New Roman" w:hAnsi="Times New Roman" w:cs="宋体"/>
          <w:kern w:val="0"/>
          <w:sz w:val="24"/>
          <w:szCs w:val="24"/>
          <w:lang w:val="zh-CN"/>
        </w:rPr>
        <w:t>的安全，由成交商负责，须与招标单位签订安全生产责任书，并承担一切责任</w:t>
      </w:r>
      <w:r>
        <w:rPr>
          <w:rFonts w:hint="eastAsia" w:ascii="Times New Roman" w:hAnsi="Times New Roman" w:cs="宋体"/>
          <w:sz w:val="24"/>
          <w:szCs w:val="24"/>
        </w:rPr>
        <w:t>。</w:t>
      </w:r>
    </w:p>
    <w:p>
      <w:pPr>
        <w:spacing w:line="360" w:lineRule="auto"/>
        <w:ind w:firstLine="482" w:firstLineChars="200"/>
        <w:rPr>
          <w:rFonts w:ascii="Times New Roman" w:hAnsi="Times New Roman" w:cs="宋体"/>
          <w:b/>
          <w:bCs/>
          <w:kern w:val="0"/>
          <w:sz w:val="24"/>
          <w:szCs w:val="24"/>
        </w:rPr>
      </w:pPr>
      <w:r>
        <w:rPr>
          <w:rFonts w:hint="eastAsia" w:ascii="Times New Roman" w:hAnsi="Times New Roman" w:cs="宋体"/>
          <w:b/>
          <w:bCs/>
          <w:kern w:val="0"/>
          <w:sz w:val="24"/>
          <w:szCs w:val="24"/>
        </w:rPr>
        <w:t>8、本项目中标的三家单位，编制及审核、工程结算审核工作由招标人平均分配，在实施过程中，招标人会进行考核，并且招标人有权根据考核结果调整任务分配。</w:t>
      </w:r>
    </w:p>
    <w:p>
      <w:pPr>
        <w:spacing w:line="360" w:lineRule="auto"/>
        <w:ind w:firstLine="482" w:firstLineChars="200"/>
        <w:rPr>
          <w:rFonts w:ascii="Times New Roman" w:hAnsi="Times New Roman" w:cs="Times New Roman"/>
          <w:sz w:val="24"/>
          <w:szCs w:val="24"/>
        </w:rPr>
      </w:pPr>
      <w:r>
        <w:rPr>
          <w:rFonts w:hint="eastAsia" w:ascii="Times New Roman" w:hAnsi="Times New Roman" w:cs="宋体"/>
          <w:b/>
          <w:bCs/>
          <w:kern w:val="0"/>
          <w:sz w:val="24"/>
          <w:szCs w:val="24"/>
        </w:rPr>
        <w:t>三、付款方式</w:t>
      </w:r>
    </w:p>
    <w:p>
      <w:pPr>
        <w:spacing w:line="360" w:lineRule="auto"/>
        <w:ind w:firstLine="480" w:firstLineChars="200"/>
        <w:outlineLvl w:val="1"/>
        <w:rPr>
          <w:rFonts w:ascii="Times New Roman" w:hAnsi="Times New Roman" w:cs="Times New Roman"/>
          <w:sz w:val="24"/>
          <w:szCs w:val="24"/>
        </w:rPr>
      </w:pPr>
      <w:r>
        <w:rPr>
          <w:rFonts w:hint="eastAsia" w:ascii="Times New Roman" w:hAnsi="Times New Roman" w:cs="宋体"/>
          <w:sz w:val="24"/>
          <w:szCs w:val="24"/>
        </w:rPr>
        <w:t>工程造价咨询费按年度结算，每年年底前一次性付清。（注：本院项目如单个项目造价咨询费低于600元的，则按600元结算。）</w:t>
      </w:r>
    </w:p>
    <w:p>
      <w:pPr>
        <w:spacing w:line="360" w:lineRule="auto"/>
        <w:ind w:firstLine="480" w:firstLineChars="200"/>
        <w:outlineLvl w:val="1"/>
        <w:rPr>
          <w:rFonts w:ascii="Times New Roman" w:hAnsi="Times New Roman" w:cs="Times New Roman"/>
          <w:sz w:val="24"/>
          <w:szCs w:val="24"/>
        </w:rPr>
      </w:pPr>
      <w:r>
        <w:rPr>
          <w:rFonts w:hint="eastAsia" w:ascii="Times New Roman" w:hAnsi="Times New Roman" w:cs="宋体"/>
          <w:sz w:val="24"/>
          <w:szCs w:val="24"/>
        </w:rPr>
        <w:t>每次支付前，成交商应出具税务部门开具的相应金额的税务发票。否则发包人有权拒付，且不承担延期支付款项的违约责任。</w:t>
      </w:r>
    </w:p>
    <w:p>
      <w:pPr>
        <w:spacing w:line="360" w:lineRule="auto"/>
        <w:ind w:firstLine="480" w:firstLineChars="200"/>
        <w:rPr>
          <w:rFonts w:ascii="Times New Roman" w:hAnsi="Times New Roman" w:cs="Times New Roman"/>
          <w:sz w:val="24"/>
          <w:szCs w:val="24"/>
        </w:rPr>
      </w:pPr>
    </w:p>
    <w:p>
      <w:pPr>
        <w:widowControl/>
        <w:jc w:val="center"/>
        <w:rPr>
          <w:rFonts w:ascii="Times New Roman" w:hAnsi="Times New Roman" w:cs="Times New Roman"/>
          <w:b/>
          <w:w w:val="80"/>
          <w:sz w:val="48"/>
          <w:szCs w:val="48"/>
        </w:rPr>
      </w:pPr>
      <w:r>
        <w:rPr>
          <w:rFonts w:ascii="Times New Roman" w:hAnsi="Times New Roman" w:cs="Times New Roman"/>
          <w:w w:val="80"/>
          <w:sz w:val="48"/>
          <w:szCs w:val="48"/>
        </w:rPr>
        <w:br w:type="page"/>
      </w:r>
      <w:r>
        <w:rPr>
          <w:rFonts w:hint="eastAsia" w:ascii="Times New Roman" w:hAnsi="Times New Roman" w:cs="宋体"/>
          <w:b/>
          <w:w w:val="80"/>
          <w:sz w:val="48"/>
          <w:szCs w:val="48"/>
        </w:rPr>
        <w:t>第四章</w:t>
      </w:r>
      <w:bookmarkStart w:id="10" w:name="_Toc38121794"/>
      <w:bookmarkStart w:id="11" w:name="_Toc37322565"/>
      <w:bookmarkStart w:id="12" w:name="_Toc43217893"/>
      <w:bookmarkStart w:id="13" w:name="_Toc182848996"/>
      <w:bookmarkStart w:id="14" w:name="_Toc85627670"/>
      <w:r>
        <w:rPr>
          <w:rFonts w:ascii="Times New Roman" w:hAnsi="Times New Roman" w:cs="Times New Roman"/>
          <w:b/>
          <w:w w:val="80"/>
          <w:sz w:val="48"/>
          <w:szCs w:val="48"/>
        </w:rPr>
        <w:t xml:space="preserve"> </w:t>
      </w:r>
      <w:r>
        <w:rPr>
          <w:rFonts w:hint="eastAsia" w:ascii="Times New Roman" w:hAnsi="Times New Roman" w:cs="宋体"/>
          <w:b/>
          <w:w w:val="80"/>
          <w:sz w:val="48"/>
          <w:szCs w:val="48"/>
        </w:rPr>
        <w:t>评审方法和程序</w:t>
      </w:r>
      <w:bookmarkEnd w:id="10"/>
      <w:bookmarkEnd w:id="11"/>
      <w:bookmarkEnd w:id="12"/>
      <w:bookmarkEnd w:id="13"/>
      <w:bookmarkEnd w:id="14"/>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bookmarkStart w:id="15" w:name="_Toc363573857"/>
      <w:bookmarkEnd w:id="15"/>
      <w:r>
        <w:rPr>
          <w:rFonts w:hint="eastAsia" w:ascii="Times New Roman" w:hAnsi="Times New Roman" w:cs="宋体"/>
          <w:b/>
          <w:bCs/>
          <w:shd w:val="clear" w:color="auto" w:fill="FFFFFF"/>
        </w:rPr>
        <w:t>一、招标单位组织磋商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、本次竞争性磋商参考《中华人民共和国政府采购法》、《政府采购竞争性磋商采购方式管理暂行办法》及有关法规成立磋商小组。磋商小组由</w:t>
      </w:r>
      <w:r>
        <w:rPr>
          <w:rFonts w:ascii="Times New Roman" w:hAnsi="Times New Roman" w:cs="Times New Roman"/>
          <w:sz w:val="24"/>
          <w:szCs w:val="24"/>
        </w:rPr>
        <w:t>3</w:t>
      </w:r>
      <w:r>
        <w:rPr>
          <w:rFonts w:hint="eastAsia" w:ascii="Times New Roman" w:hAnsi="Times New Roman" w:cs="宋体"/>
          <w:sz w:val="24"/>
          <w:szCs w:val="24"/>
        </w:rPr>
        <w:t>人或以上单数组成。</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、磋商小组的职责：</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1</w:t>
      </w:r>
      <w:r>
        <w:rPr>
          <w:rFonts w:hint="eastAsia" w:ascii="Times New Roman" w:hAnsi="Times New Roman" w:cs="宋体"/>
          <w:sz w:val="24"/>
          <w:szCs w:val="24"/>
        </w:rPr>
        <w:t>）磋商小组成员应当按照客观、公正、审慎的原则，根据磋商文件规定的评审程序、评审方法和评审标准进行独立评审。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2</w:t>
      </w:r>
      <w:r>
        <w:rPr>
          <w:rFonts w:hint="eastAsia" w:ascii="Times New Roman" w:hAnsi="Times New Roman" w:cs="宋体"/>
          <w:sz w:val="24"/>
          <w:szCs w:val="24"/>
        </w:rPr>
        <w:t>）磋商小组成员应当遵守评审工作纪律，不得泄露评审情况和评审中获悉的商业秘密，对个人的评审意见承担法律责任；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3</w:t>
      </w:r>
      <w:r>
        <w:rPr>
          <w:rFonts w:hint="eastAsia" w:ascii="Times New Roman" w:hAnsi="Times New Roman" w:cs="宋体"/>
          <w:sz w:val="24"/>
          <w:szCs w:val="24"/>
        </w:rPr>
        <w:t>）磋商小组成员在评审过程中发现投标单位有行贿、提供虚假材料或者串通等违法行为的，应当及时向财政部门报告。</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4</w:t>
      </w:r>
      <w:r>
        <w:rPr>
          <w:rFonts w:hint="eastAsia" w:ascii="Times New Roman" w:hAnsi="Times New Roman" w:cs="宋体"/>
          <w:sz w:val="24"/>
          <w:szCs w:val="24"/>
        </w:rPr>
        <w:t>）磋商小组成员在评审过程中受到非法干涉的，应当及时向财政、监察等部门举报。</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5</w:t>
      </w:r>
      <w:r>
        <w:rPr>
          <w:rFonts w:hint="eastAsia" w:ascii="Times New Roman" w:hAnsi="Times New Roman" w:cs="宋体"/>
          <w:sz w:val="24"/>
          <w:szCs w:val="24"/>
        </w:rPr>
        <w:t>）配合招标单位答复投标单位提出的质疑；配合财政部门的投诉处理和监督检查工作。</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、评审有关记录由磋商小组成员签名，存档备查。</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、投标单位的法定代表人或被授权人须持身份证准时参加磋商开标会。</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二、磋商的原则及方法</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、磋商小组参考《中华人民共和国政府采购法》、《政府采购竞争性磋商采购方式管理暂行办法》以及有关政府采购的相关法规，遵循“公开、公平、公正、择优、信用”的原则进行磋商评审。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、磋商小组将按照竞争性磋商文件的规定，独立对每个进入打分程序的有效投标单位的响应文件的技术部分以打分的形式进行评审和评价。技术分取算术平均值（计算结果均四舍五入保留两位小数）。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、磋商小组根据磋商文件规定的程序、评定成交的标准等事项与实质性响应磋商文件要求的投标单位进行磋商。未实质性响应磋商文件要求的响应文件按无效标处理，磋商小组应当告知提交响应文件的投标单位。</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、除非在磋商中磋商小组对招标单位需求内容作了调整增加，或对招标内容作了实质性变更，否则</w:t>
      </w:r>
      <w:r>
        <w:rPr>
          <w:rFonts w:hint="eastAsia" w:ascii="Times New Roman" w:hAnsi="Times New Roman" w:cs="宋体"/>
          <w:b/>
          <w:bCs/>
          <w:sz w:val="24"/>
          <w:szCs w:val="24"/>
        </w:rPr>
        <w:t>招标单位不接受投标单位高于自己前一轮的磋商报价</w:t>
      </w:r>
      <w:r>
        <w:rPr>
          <w:rFonts w:hint="eastAsia" w:ascii="Times New Roman" w:hAnsi="Times New Roman" w:cs="宋体"/>
          <w:sz w:val="24"/>
          <w:szCs w:val="24"/>
        </w:rPr>
        <w:t>。</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、对于在磋商顺利开始后至最终报价前，根据磋商情况退出磋商的投标单位，须以书面形式说明退出磋商的原因，经磋商小组同意可以退出磋商。</w:t>
      </w:r>
    </w:p>
    <w:p>
      <w:pPr>
        <w:spacing w:line="360" w:lineRule="auto"/>
        <w:ind w:firstLine="480" w:firstLineChars="200"/>
        <w:textAlignment w:val="baseline"/>
        <w:rPr>
          <w:rFonts w:ascii="Times New Roman" w:hAnsi="Times New Roman" w:cs="宋体"/>
          <w:sz w:val="24"/>
          <w:szCs w:val="24"/>
        </w:rPr>
      </w:pPr>
      <w:r>
        <w:rPr>
          <w:rFonts w:ascii="Times New Roman" w:hAnsi="Times New Roman" w:cs="Times New Roman"/>
          <w:sz w:val="24"/>
          <w:szCs w:val="24"/>
        </w:rPr>
        <w:t>6</w:t>
      </w:r>
      <w:r>
        <w:rPr>
          <w:rFonts w:hint="eastAsia" w:ascii="Times New Roman" w:hAnsi="Times New Roman" w:cs="宋体"/>
          <w:sz w:val="24"/>
          <w:szCs w:val="24"/>
        </w:rPr>
        <w:t>、在磋商中，磋商的任何一方不得透露与磋商有关的其他响应磋商的供应商的技术资料、价格及其他信息。</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7、单位负责人为同一人或者存在直接控股、管理关系的不同投标单位，都不得在同一采购项目相同标段中同时参加磋商，一经发现，将视同围标处理。</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Times New Roman"/>
          <w:sz w:val="24"/>
          <w:szCs w:val="24"/>
        </w:rPr>
        <w:t>8</w:t>
      </w:r>
      <w:r>
        <w:rPr>
          <w:rFonts w:hint="eastAsia" w:ascii="Times New Roman" w:hAnsi="Times New Roman" w:cs="宋体"/>
          <w:sz w:val="24"/>
          <w:szCs w:val="24"/>
        </w:rPr>
        <w:t>、若符合要求的投标单位少于三家</w:t>
      </w:r>
      <w:r>
        <w:rPr>
          <w:rFonts w:hint="eastAsia" w:ascii="Times New Roman" w:hAnsi="Times New Roman" w:cs="Times New Roman"/>
          <w:sz w:val="24"/>
          <w:szCs w:val="24"/>
        </w:rPr>
        <w:t>（不含三家）</w:t>
      </w:r>
      <w:r>
        <w:rPr>
          <w:rFonts w:hint="eastAsia" w:ascii="Times New Roman" w:hAnsi="Times New Roman" w:cs="宋体"/>
          <w:sz w:val="24"/>
          <w:szCs w:val="24"/>
        </w:rPr>
        <w:t>，则终止本次竞争性磋商招标活动，重新开展招标活动。</w:t>
      </w:r>
    </w:p>
    <w:p>
      <w:pPr>
        <w:snapToGrid w:val="0"/>
        <w:spacing w:line="480" w:lineRule="exact"/>
        <w:ind w:firstLine="482" w:firstLineChars="200"/>
        <w:rPr>
          <w:rFonts w:ascii="宋体"/>
          <w:b/>
          <w:bCs/>
          <w:sz w:val="24"/>
          <w:szCs w:val="24"/>
        </w:rPr>
      </w:pPr>
      <w:r>
        <w:rPr>
          <w:rFonts w:hint="eastAsia" w:ascii="宋体" w:hAnsi="宋体" w:cs="宋体"/>
          <w:b/>
          <w:bCs/>
          <w:sz w:val="24"/>
          <w:szCs w:val="24"/>
        </w:rPr>
        <w:t>三、评审步骤</w:t>
      </w:r>
    </w:p>
    <w:p>
      <w:pPr>
        <w:snapToGrid w:val="0"/>
        <w:spacing w:line="480" w:lineRule="exact"/>
        <w:ind w:firstLine="482" w:firstLineChars="200"/>
        <w:rPr>
          <w:rFonts w:ascii="宋体"/>
          <w:b/>
          <w:bCs/>
          <w:sz w:val="24"/>
          <w:szCs w:val="24"/>
          <w:lang w:val="zh-CN"/>
        </w:rPr>
      </w:pPr>
      <w:r>
        <w:rPr>
          <w:rFonts w:hint="eastAsia" w:ascii="宋体" w:hAnsi="宋体" w:cs="宋体"/>
          <w:b/>
          <w:bCs/>
          <w:sz w:val="24"/>
          <w:szCs w:val="24"/>
          <w:lang w:val="zh-CN"/>
        </w:rPr>
        <w:t>1、评审步骤规定：</w:t>
      </w:r>
    </w:p>
    <w:p>
      <w:pPr>
        <w:snapToGrid w:val="0"/>
        <w:spacing w:line="480" w:lineRule="exact"/>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本次资格审查采用资格后审，各投标单位资格审查通过后方能进入技术标的开标。先开技术标，技术标打分结束后再开商务标。</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对每个投标单位的资格进行审查。</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对每个符合资格要求的投标单位的技术标进行</w:t>
      </w:r>
      <w:r>
        <w:rPr>
          <w:rFonts w:hint="eastAsia" w:ascii="宋体" w:hAnsi="宋体" w:cs="宋体"/>
          <w:sz w:val="24"/>
          <w:szCs w:val="24"/>
        </w:rPr>
        <w:t>评审</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磋商小组严格按照磋商文件的要求、条件、评分标准，对投标单位所提供的技术标的实质性响应内容进行比较。</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第三阶段：以投标单位价格标文件内的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投标单位可以分别进行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应当以书面形式通知所有投标单位。</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第四阶段：</w:t>
      </w:r>
      <w:r>
        <w:rPr>
          <w:rFonts w:hint="eastAsia" w:ascii="宋体" w:hAnsi="宋体" w:cs="宋体"/>
          <w:sz w:val="24"/>
          <w:szCs w:val="24"/>
        </w:rPr>
        <w:t>磋商</w:t>
      </w:r>
      <w:r>
        <w:rPr>
          <w:rFonts w:hint="eastAsia" w:ascii="宋体" w:hAnsi="宋体" w:cs="宋体"/>
          <w:sz w:val="24"/>
          <w:szCs w:val="24"/>
          <w:lang w:val="zh-CN"/>
        </w:rPr>
        <w:t>明确各投标单位符合并满足磋商文件要求，并能完全响应</w:t>
      </w:r>
      <w:r>
        <w:rPr>
          <w:rFonts w:hint="eastAsia" w:ascii="宋体" w:hAnsi="宋体" w:cs="宋体"/>
          <w:sz w:val="24"/>
          <w:szCs w:val="24"/>
        </w:rPr>
        <w:t>磋商</w:t>
      </w:r>
      <w:r>
        <w:rPr>
          <w:rFonts w:hint="eastAsia" w:ascii="宋体" w:hAnsi="宋体" w:cs="宋体"/>
          <w:sz w:val="24"/>
          <w:szCs w:val="24"/>
          <w:lang w:val="zh-CN"/>
        </w:rPr>
        <w:t>内容后，要求其现场集体给出最终报价，同时最终报价中可包括但不限于如最终澄清方案、有关优惠承诺等。</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对投标单位的最终报价进行评议和比较，在实质性响应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将校核后的各投标单位的报价从低到高排序（</w:t>
      </w:r>
      <w:r>
        <w:rPr>
          <w:rFonts w:hint="eastAsia" w:ascii="宋体" w:hAnsi="宋体" w:cs="宋体"/>
          <w:sz w:val="24"/>
          <w:szCs w:val="24"/>
        </w:rPr>
        <w:t>明显低于成本的，且投标单位不能合理说明或者不能提供相关证明材料的报价除外）</w:t>
      </w:r>
      <w:r>
        <w:rPr>
          <w:rFonts w:hint="eastAsia" w:ascii="宋体" w:hAnsi="宋体" w:cs="宋体"/>
          <w:sz w:val="24"/>
          <w:szCs w:val="24"/>
          <w:lang w:val="zh-CN"/>
        </w:rPr>
        <w:t>。</w:t>
      </w:r>
    </w:p>
    <w:p>
      <w:pPr>
        <w:snapToGrid w:val="0"/>
        <w:spacing w:line="480" w:lineRule="exact"/>
        <w:ind w:firstLine="480" w:firstLineChars="200"/>
        <w:rPr>
          <w:rFonts w:ascii="宋体"/>
          <w:sz w:val="24"/>
          <w:szCs w:val="24"/>
        </w:rPr>
      </w:pPr>
      <w:r>
        <w:rPr>
          <w:rFonts w:hint="eastAsia" w:ascii="宋体" w:hAnsi="宋体" w:cs="宋体"/>
          <w:sz w:val="24"/>
          <w:szCs w:val="24"/>
          <w:lang w:val="zh-CN"/>
        </w:rPr>
        <w:t>2、在</w:t>
      </w:r>
      <w:r>
        <w:rPr>
          <w:rFonts w:hint="eastAsia" w:ascii="宋体" w:hAnsi="宋体" w:cs="宋体"/>
          <w:sz w:val="24"/>
          <w:szCs w:val="24"/>
        </w:rPr>
        <w:t>磋商</w:t>
      </w:r>
      <w:r>
        <w:rPr>
          <w:rFonts w:hint="eastAsia" w:ascii="宋体" w:hAnsi="宋体" w:cs="宋体"/>
          <w:sz w:val="24"/>
          <w:szCs w:val="24"/>
          <w:lang w:val="zh-CN"/>
        </w:rPr>
        <w:t>过程中，投标单位提交的澄清文件和最终报价文件，由投标单位法定代表人或被授权人签字盖章后生效，投标单位受其约束。</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四、磋商评定结果的方法</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w:t>
      </w:r>
      <w:r>
        <w:rPr>
          <w:rFonts w:hint="eastAsia" w:ascii="Times New Roman" w:hAnsi="Times New Roman" w:cs="宋体"/>
          <w:b/>
          <w:bCs/>
          <w:sz w:val="24"/>
          <w:szCs w:val="24"/>
          <w:u w:val="single"/>
        </w:rPr>
        <w:t>经磋商确定最终采购需求和提交最后报价的投标单位后，</w:t>
      </w:r>
      <w:r>
        <w:rPr>
          <w:rFonts w:hint="eastAsia" w:ascii="Times New Roman" w:hAnsi="Times New Roman" w:cs="宋体"/>
          <w:sz w:val="24"/>
          <w:szCs w:val="24"/>
        </w:rPr>
        <w:t>由磋商小组采用综合评分法</w:t>
      </w:r>
      <w:r>
        <w:rPr>
          <w:rFonts w:hint="eastAsia" w:ascii="Times New Roman" w:hAnsi="Times New Roman" w:cs="宋体"/>
          <w:b/>
          <w:bCs/>
          <w:sz w:val="24"/>
          <w:szCs w:val="24"/>
          <w:u w:val="single"/>
        </w:rPr>
        <w:t>对提交最后报价的投标单位的响应文件和最后报价</w:t>
      </w:r>
      <w:r>
        <w:rPr>
          <w:rFonts w:hint="eastAsia" w:ascii="Times New Roman" w:hAnsi="Times New Roman" w:cs="宋体"/>
          <w:sz w:val="24"/>
          <w:szCs w:val="24"/>
        </w:rPr>
        <w:t>进行综合评分。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、评审时，磋商小组各成员应当独立对每个有效响应的文件进行评价、打分，然后汇总每个投标单位每项评分因素的得分（计算结果均四舍五入保留两位小数）。</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、本次项目磋商的技术和报价评审总分值为</w:t>
      </w:r>
      <w:r>
        <w:rPr>
          <w:rFonts w:ascii="Times New Roman" w:hAnsi="Times New Roman" w:cs="Times New Roman"/>
          <w:sz w:val="24"/>
          <w:szCs w:val="24"/>
        </w:rPr>
        <w:t>100</w:t>
      </w:r>
      <w:r>
        <w:rPr>
          <w:rFonts w:hint="eastAsia" w:ascii="Times New Roman" w:hAnsi="Times New Roman" w:cs="宋体"/>
          <w:sz w:val="24"/>
          <w:szCs w:val="24"/>
        </w:rPr>
        <w:t>分。两部分评审因素比重如下：</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技术分值占总分值的比重为</w:t>
      </w:r>
      <w:r>
        <w:rPr>
          <w:rFonts w:hint="eastAsia" w:ascii="Times New Roman" w:hAnsi="Times New Roman" w:cs="宋体"/>
          <w:b/>
          <w:bCs/>
          <w:sz w:val="24"/>
          <w:szCs w:val="24"/>
          <w:u w:val="single"/>
        </w:rPr>
        <w:t>40%（权重）</w:t>
      </w:r>
      <w:r>
        <w:rPr>
          <w:rFonts w:hint="eastAsia" w:ascii="Times New Roman" w:hAnsi="Times New Roman" w:cs="宋体"/>
          <w:sz w:val="24"/>
          <w:szCs w:val="24"/>
        </w:rPr>
        <w:t>（四舍五入保留两位小数）；</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报价分值占总分值的比重为</w:t>
      </w:r>
      <w:r>
        <w:rPr>
          <w:rFonts w:hint="eastAsia" w:ascii="Times New Roman" w:hAnsi="Times New Roman" w:cs="宋体"/>
          <w:b/>
          <w:bCs/>
          <w:sz w:val="24"/>
          <w:szCs w:val="24"/>
          <w:u w:val="single"/>
        </w:rPr>
        <w:t>60%（权重）</w:t>
      </w:r>
      <w:r>
        <w:rPr>
          <w:rFonts w:hint="eastAsia" w:ascii="Times New Roman" w:hAnsi="Times New Roman" w:cs="宋体"/>
          <w:sz w:val="24"/>
          <w:szCs w:val="24"/>
        </w:rPr>
        <w:t>（四舍五入保留两位小数）。</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、技术分按算术平均值计算，分值四舍五入保留两位小数。</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、报价分以所有投标单位的有效报价的算术平均值（四舍五入取整数）为评标基准价，投标报价与评标基准价相比，每上浮</w:t>
      </w:r>
      <w:r>
        <w:rPr>
          <w:rFonts w:ascii="Times New Roman" w:hAnsi="Times New Roman" w:cs="Times New Roman"/>
          <w:sz w:val="24"/>
          <w:szCs w:val="24"/>
        </w:rPr>
        <w:t>1%</w:t>
      </w:r>
      <w:r>
        <w:rPr>
          <w:rFonts w:hint="eastAsia" w:ascii="Times New Roman" w:hAnsi="Times New Roman" w:cs="宋体"/>
          <w:sz w:val="24"/>
          <w:szCs w:val="24"/>
        </w:rPr>
        <w:t>减</w:t>
      </w:r>
      <w:r>
        <w:rPr>
          <w:rFonts w:ascii="Times New Roman" w:hAnsi="Times New Roman" w:cs="Times New Roman"/>
          <w:sz w:val="24"/>
          <w:szCs w:val="24"/>
        </w:rPr>
        <w:t>0.9</w:t>
      </w:r>
      <w:r>
        <w:rPr>
          <w:rFonts w:hint="eastAsia" w:ascii="Times New Roman" w:hAnsi="Times New Roman" w:cs="宋体"/>
          <w:sz w:val="24"/>
          <w:szCs w:val="24"/>
        </w:rPr>
        <w:t>分，每下浮</w:t>
      </w:r>
      <w:r>
        <w:rPr>
          <w:rFonts w:ascii="Times New Roman" w:hAnsi="Times New Roman" w:cs="Times New Roman"/>
          <w:sz w:val="24"/>
          <w:szCs w:val="24"/>
        </w:rPr>
        <w:t>1%</w:t>
      </w:r>
      <w:r>
        <w:rPr>
          <w:rFonts w:hint="eastAsia" w:ascii="Times New Roman" w:hAnsi="Times New Roman" w:cs="宋体"/>
          <w:sz w:val="24"/>
          <w:szCs w:val="24"/>
        </w:rPr>
        <w:t>减</w:t>
      </w:r>
      <w:r>
        <w:rPr>
          <w:rFonts w:ascii="Times New Roman" w:hAnsi="Times New Roman" w:cs="Times New Roman"/>
          <w:sz w:val="24"/>
          <w:szCs w:val="24"/>
        </w:rPr>
        <w:t>0.5</w:t>
      </w:r>
      <w:r>
        <w:rPr>
          <w:rFonts w:hint="eastAsia" w:ascii="Times New Roman" w:hAnsi="Times New Roman" w:cs="宋体"/>
          <w:sz w:val="24"/>
          <w:szCs w:val="24"/>
        </w:rPr>
        <w:t>分。</w:t>
      </w:r>
    </w:p>
    <w:p>
      <w:pPr>
        <w:spacing w:line="360" w:lineRule="auto"/>
        <w:ind w:firstLine="480" w:firstLineChars="200"/>
        <w:textAlignment w:val="baseline"/>
        <w:rPr>
          <w:rFonts w:ascii="Times New Roman" w:hAnsi="Times New Roman" w:cs="Times New Roman"/>
          <w:sz w:val="24"/>
          <w:szCs w:val="24"/>
        </w:rPr>
      </w:pPr>
      <w:r>
        <w:rPr>
          <w:sz w:val="24"/>
          <w:szCs w:val="24"/>
        </w:rPr>
        <w:t>6</w:t>
      </w:r>
      <w:r>
        <w:rPr>
          <w:rFonts w:hint="eastAsia" w:cs="宋体"/>
          <w:sz w:val="24"/>
          <w:szCs w:val="24"/>
        </w:rPr>
        <w:t>、技术分与报价分相加为投标单位的综合得分（四舍五入保留两位小数）。综合得分排名前三名的投标单位</w:t>
      </w:r>
      <w:r>
        <w:rPr>
          <w:rFonts w:hint="eastAsia" w:cs="宋体"/>
          <w:sz w:val="24"/>
          <w:szCs w:val="24"/>
          <w:shd w:val="clear" w:color="auto" w:fill="FFFFFF"/>
        </w:rPr>
        <w:t>为中标单位。</w:t>
      </w:r>
      <w:r>
        <w:rPr>
          <w:rFonts w:cs="Times New Roman"/>
          <w:sz w:val="24"/>
          <w:szCs w:val="24"/>
          <w:shd w:val="clear" w:color="auto" w:fill="FFFFFF"/>
        </w:rPr>
        <w:tab/>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宋体"/>
          <w:sz w:val="24"/>
          <w:szCs w:val="24"/>
        </w:rPr>
        <w:t>、确定成交候选人的特殊情况处理：</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1</w:t>
      </w:r>
      <w:r>
        <w:rPr>
          <w:rFonts w:hint="eastAsia" w:ascii="Times New Roman" w:hAnsi="Times New Roman" w:cs="宋体"/>
          <w:sz w:val="24"/>
          <w:szCs w:val="24"/>
        </w:rPr>
        <w:t>）若总分相同，则按最终报价响应得分高者优先中标。</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2</w:t>
      </w:r>
      <w:r>
        <w:rPr>
          <w:rFonts w:hint="eastAsia" w:ascii="Times New Roman" w:hAnsi="Times New Roman" w:cs="宋体"/>
          <w:sz w:val="24"/>
          <w:szCs w:val="24"/>
        </w:rPr>
        <w:t>）若总分且最终报价响应得分相同，则按照技术指标优者优先成交。</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8</w:t>
      </w:r>
      <w:r>
        <w:rPr>
          <w:rFonts w:hint="eastAsia" w:ascii="Times New Roman" w:hAnsi="Times New Roman" w:cs="宋体"/>
          <w:sz w:val="24"/>
          <w:szCs w:val="24"/>
        </w:rPr>
        <w:t>、磋商评审时，评委对评审的细则若有争议，由磋商小组集体讨论确定，并对未尽情况有最终解释权。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9</w:t>
      </w:r>
      <w:r>
        <w:rPr>
          <w:rFonts w:hint="eastAsia" w:ascii="Times New Roman" w:hAnsi="Times New Roman" w:cs="宋体"/>
          <w:sz w:val="24"/>
          <w:szCs w:val="24"/>
        </w:rPr>
        <w:t>、对落标的投标单位不做落标原因的解释。</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四、综合评分评审标准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（一）技术分（40分）：</w:t>
      </w:r>
      <w:r>
        <w:rPr>
          <w:rFonts w:ascii="Times New Roman" w:hAnsi="Times New Roman" w:cs="Times New Roman"/>
          <w:b/>
          <w:bCs/>
          <w:shd w:val="clear" w:color="auto" w:fill="FFFFFF"/>
        </w:rPr>
        <w:t xml:space="preserve"> </w:t>
      </w:r>
    </w:p>
    <w:tbl>
      <w:tblPr>
        <w:tblStyle w:val="18"/>
        <w:tblW w:w="10012" w:type="dxa"/>
        <w:jc w:val="center"/>
        <w:tblLayout w:type="fixed"/>
        <w:tblCellMar>
          <w:top w:w="0" w:type="dxa"/>
          <w:left w:w="108" w:type="dxa"/>
          <w:bottom w:w="0" w:type="dxa"/>
          <w:right w:w="108" w:type="dxa"/>
        </w:tblCellMar>
      </w:tblPr>
      <w:tblGrid>
        <w:gridCol w:w="656"/>
        <w:gridCol w:w="1579"/>
        <w:gridCol w:w="6945"/>
        <w:gridCol w:w="832"/>
      </w:tblGrid>
      <w:tr>
        <w:tblPrEx>
          <w:tblCellMar>
            <w:top w:w="0" w:type="dxa"/>
            <w:left w:w="108" w:type="dxa"/>
            <w:bottom w:w="0" w:type="dxa"/>
            <w:right w:w="108" w:type="dxa"/>
          </w:tblCellMar>
        </w:tblPrEx>
        <w:trPr>
          <w:trHeight w:val="64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cs="Times New Roman"/>
                <w:sz w:val="20"/>
                <w:szCs w:val="20"/>
              </w:rPr>
            </w:pPr>
            <w:r>
              <w:rPr>
                <w:rFonts w:hint="eastAsia" w:ascii="宋体" w:hAnsi="宋体" w:cs="宋体"/>
              </w:rPr>
              <w:t>序号</w:t>
            </w:r>
          </w:p>
        </w:tc>
        <w:tc>
          <w:tcPr>
            <w:tcW w:w="1579"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宋体" w:cs="Times New Roman"/>
                <w:sz w:val="20"/>
                <w:szCs w:val="20"/>
              </w:rPr>
            </w:pPr>
            <w:r>
              <w:rPr>
                <w:rFonts w:hint="eastAsia" w:ascii="宋体" w:hAnsi="宋体" w:cs="宋体"/>
              </w:rPr>
              <w:t>评审内容</w:t>
            </w:r>
          </w:p>
        </w:tc>
        <w:tc>
          <w:tcPr>
            <w:tcW w:w="6945"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cs="Times New Roman"/>
                <w:sz w:val="20"/>
                <w:szCs w:val="20"/>
              </w:rPr>
            </w:pPr>
            <w:r>
              <w:rPr>
                <w:rFonts w:hint="eastAsia" w:ascii="宋体" w:hAnsi="宋体" w:cs="宋体"/>
              </w:rPr>
              <w:t>评审细则</w:t>
            </w:r>
          </w:p>
        </w:tc>
        <w:tc>
          <w:tcPr>
            <w:tcW w:w="832"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cs="Times New Roman"/>
                <w:sz w:val="20"/>
                <w:szCs w:val="20"/>
              </w:rPr>
            </w:pPr>
            <w:r>
              <w:rPr>
                <w:rFonts w:hint="eastAsia" w:ascii="宋体" w:hAnsi="宋体" w:cs="宋体"/>
              </w:rPr>
              <w:t>分值</w:t>
            </w:r>
          </w:p>
        </w:tc>
      </w:tr>
      <w:tr>
        <w:tblPrEx>
          <w:tblCellMar>
            <w:top w:w="0" w:type="dxa"/>
            <w:left w:w="108" w:type="dxa"/>
            <w:bottom w:w="0" w:type="dxa"/>
            <w:right w:w="108" w:type="dxa"/>
          </w:tblCellMar>
        </w:tblPrEx>
        <w:trPr>
          <w:trHeight w:val="2300" w:hRule="atLeast"/>
          <w:jc w:val="center"/>
        </w:trPr>
        <w:tc>
          <w:tcPr>
            <w:tcW w:w="656" w:type="dxa"/>
            <w:vMerge w:val="restart"/>
            <w:tcBorders>
              <w:left w:val="single" w:color="auto" w:sz="4" w:space="0"/>
              <w:right w:val="single" w:color="auto" w:sz="4" w:space="0"/>
            </w:tcBorders>
            <w:vAlign w:val="center"/>
          </w:tcPr>
          <w:p>
            <w:pPr>
              <w:spacing w:line="360" w:lineRule="auto"/>
              <w:jc w:val="center"/>
              <w:textAlignment w:val="baseline"/>
              <w:rPr>
                <w:rFonts w:ascii="宋体" w:cs="Times New Roman"/>
                <w:sz w:val="20"/>
                <w:szCs w:val="20"/>
              </w:rPr>
            </w:pPr>
            <w:r>
              <w:rPr>
                <w:rFonts w:hint="eastAsia" w:ascii="宋体" w:cs="宋体"/>
                <w:sz w:val="20"/>
                <w:szCs w:val="20"/>
              </w:rPr>
              <w:t>一</w:t>
            </w:r>
          </w:p>
        </w:tc>
        <w:tc>
          <w:tcPr>
            <w:tcW w:w="1579" w:type="dxa"/>
            <w:vMerge w:val="restart"/>
            <w:tcBorders>
              <w:left w:val="nil"/>
              <w:right w:val="single" w:color="auto" w:sz="4" w:space="0"/>
            </w:tcBorders>
            <w:vAlign w:val="center"/>
          </w:tcPr>
          <w:p>
            <w:pPr>
              <w:spacing w:line="360" w:lineRule="auto"/>
              <w:jc w:val="center"/>
              <w:textAlignment w:val="baseline"/>
              <w:rPr>
                <w:rFonts w:cs="Times New Roman"/>
              </w:rPr>
            </w:pPr>
            <w:r>
              <w:rPr>
                <w:rFonts w:hint="eastAsia" w:cs="宋体"/>
              </w:rPr>
              <w:t>企业综合实力评价</w:t>
            </w:r>
          </w:p>
          <w:p>
            <w:pPr>
              <w:pStyle w:val="2"/>
              <w:jc w:val="center"/>
              <w:rPr>
                <w:rFonts w:cs="Times New Roman"/>
              </w:rPr>
            </w:pPr>
          </w:p>
        </w:tc>
        <w:tc>
          <w:tcPr>
            <w:tcW w:w="6945" w:type="dxa"/>
            <w:tcBorders>
              <w:top w:val="single" w:color="auto" w:sz="4" w:space="0"/>
              <w:left w:val="nil"/>
              <w:right w:val="single" w:color="auto" w:sz="4" w:space="0"/>
            </w:tcBorders>
            <w:vAlign w:val="center"/>
          </w:tcPr>
          <w:p>
            <w:pPr>
              <w:spacing w:line="360" w:lineRule="auto"/>
              <w:jc w:val="left"/>
              <w:textAlignment w:val="baseline"/>
              <w:rPr>
                <w:rFonts w:ascii="宋体" w:cs="Times New Roman"/>
              </w:rPr>
            </w:pPr>
            <w:r>
              <w:rPr>
                <w:rFonts w:ascii="宋体" w:hAnsi="宋体" w:cs="宋体"/>
              </w:rPr>
              <w:t>1</w:t>
            </w:r>
            <w:r>
              <w:rPr>
                <w:rFonts w:hint="eastAsia" w:ascii="宋体" w:hAnsi="宋体" w:cs="宋体"/>
              </w:rPr>
              <w:t>、投标单位具备一级注册造价师人员数量大于等于15人的得5分；一级注册造价师人员数量小于15人大于等于10人的得3分；其余不得分。</w:t>
            </w:r>
          </w:p>
          <w:p>
            <w:pPr>
              <w:spacing w:line="360" w:lineRule="auto"/>
              <w:jc w:val="left"/>
              <w:textAlignment w:val="baseline"/>
              <w:rPr>
                <w:rFonts w:ascii="宋体" w:cs="Times New Roman"/>
              </w:rPr>
            </w:pPr>
            <w:r>
              <w:rPr>
                <w:rFonts w:hint="eastAsia" w:ascii="宋体" w:hAnsi="宋体" w:cs="宋体"/>
              </w:rPr>
              <w:t>投标单位提供人员名单、相关注册证书（必须注册在投标单位）复印件及投标单位为其缴纳的</w:t>
            </w:r>
            <w:r>
              <w:rPr>
                <w:rFonts w:ascii="宋体" w:hAnsi="宋体" w:cs="宋体"/>
              </w:rPr>
              <w:t>2022</w:t>
            </w:r>
            <w:r>
              <w:rPr>
                <w:rFonts w:hint="eastAsia" w:ascii="宋体" w:hAnsi="宋体" w:cs="宋体"/>
              </w:rPr>
              <w:t>年3月</w:t>
            </w:r>
            <w:r>
              <w:rPr>
                <w:rFonts w:ascii="宋体" w:hAnsi="宋体" w:cs="宋体"/>
              </w:rPr>
              <w:t>-</w:t>
            </w:r>
            <w:r>
              <w:rPr>
                <w:rFonts w:hint="eastAsia" w:ascii="宋体" w:hAnsi="宋体" w:cs="宋体"/>
              </w:rPr>
              <w:t>8月连续</w:t>
            </w:r>
            <w:r>
              <w:rPr>
                <w:rFonts w:ascii="宋体" w:hAnsi="宋体" w:cs="宋体"/>
              </w:rPr>
              <w:t>6</w:t>
            </w:r>
            <w:r>
              <w:rPr>
                <w:rFonts w:hint="eastAsia" w:ascii="宋体" w:hAnsi="宋体" w:cs="宋体"/>
              </w:rPr>
              <w:t>个月的社保缴纳证明。提供不全或未提供均不得分。</w:t>
            </w:r>
          </w:p>
        </w:tc>
        <w:tc>
          <w:tcPr>
            <w:tcW w:w="832" w:type="dxa"/>
            <w:tcBorders>
              <w:top w:val="single" w:color="auto" w:sz="4" w:space="0"/>
              <w:left w:val="nil"/>
              <w:right w:val="single" w:color="auto" w:sz="4" w:space="0"/>
            </w:tcBorders>
            <w:vAlign w:val="center"/>
          </w:tcPr>
          <w:p>
            <w:pPr>
              <w:spacing w:line="360" w:lineRule="auto"/>
              <w:jc w:val="center"/>
              <w:textAlignment w:val="baseline"/>
              <w:rPr>
                <w:rFonts w:ascii="宋体" w:cs="Times New Roman"/>
                <w:sz w:val="20"/>
                <w:szCs w:val="20"/>
              </w:rPr>
            </w:pPr>
            <w:r>
              <w:rPr>
                <w:rFonts w:hint="eastAsia" w:ascii="宋体" w:cs="Times New Roman"/>
                <w:sz w:val="20"/>
                <w:szCs w:val="20"/>
              </w:rPr>
              <w:t>5</w:t>
            </w:r>
          </w:p>
        </w:tc>
      </w:tr>
      <w:tr>
        <w:tblPrEx>
          <w:tblCellMar>
            <w:top w:w="0" w:type="dxa"/>
            <w:left w:w="108" w:type="dxa"/>
            <w:bottom w:w="0" w:type="dxa"/>
            <w:right w:w="108" w:type="dxa"/>
          </w:tblCellMar>
        </w:tblPrEx>
        <w:trPr>
          <w:trHeight w:val="1404" w:hRule="atLeast"/>
          <w:jc w:val="center"/>
        </w:trPr>
        <w:tc>
          <w:tcPr>
            <w:tcW w:w="656" w:type="dxa"/>
            <w:vMerge w:val="continue"/>
            <w:tcBorders>
              <w:left w:val="single" w:color="auto" w:sz="4" w:space="0"/>
              <w:right w:val="single" w:color="auto" w:sz="4" w:space="0"/>
            </w:tcBorders>
            <w:vAlign w:val="center"/>
          </w:tcPr>
          <w:p>
            <w:pPr>
              <w:spacing w:line="360" w:lineRule="auto"/>
              <w:jc w:val="center"/>
              <w:textAlignment w:val="baseline"/>
              <w:rPr>
                <w:rFonts w:ascii="宋体" w:cs="Times New Roman"/>
              </w:rPr>
            </w:pPr>
          </w:p>
        </w:tc>
        <w:tc>
          <w:tcPr>
            <w:tcW w:w="1579" w:type="dxa"/>
            <w:vMerge w:val="continue"/>
            <w:tcBorders>
              <w:left w:val="nil"/>
              <w:right w:val="single" w:color="auto" w:sz="4" w:space="0"/>
            </w:tcBorders>
            <w:vAlign w:val="center"/>
          </w:tcPr>
          <w:p>
            <w:pPr>
              <w:spacing w:line="360" w:lineRule="auto"/>
              <w:jc w:val="left"/>
              <w:textAlignment w:val="baseline"/>
              <w:rPr>
                <w:rFonts w:ascii="宋体" w:cs="Times New Roman"/>
              </w:rPr>
            </w:pPr>
          </w:p>
        </w:tc>
        <w:tc>
          <w:tcPr>
            <w:tcW w:w="6945" w:type="dxa"/>
            <w:tcBorders>
              <w:top w:val="single" w:color="auto" w:sz="4" w:space="0"/>
              <w:left w:val="nil"/>
              <w:right w:val="single" w:color="auto" w:sz="4" w:space="0"/>
            </w:tcBorders>
            <w:vAlign w:val="center"/>
          </w:tcPr>
          <w:p>
            <w:pPr>
              <w:spacing w:line="360" w:lineRule="auto"/>
              <w:jc w:val="left"/>
              <w:textAlignment w:val="baseline"/>
              <w:rPr>
                <w:rFonts w:ascii="宋体" w:cs="Times New Roman"/>
              </w:rPr>
            </w:pPr>
            <w:r>
              <w:rPr>
                <w:rFonts w:ascii="宋体" w:hAnsi="宋体" w:cs="宋体"/>
              </w:rPr>
              <w:t>2</w:t>
            </w:r>
            <w:r>
              <w:rPr>
                <w:rFonts w:hint="eastAsia" w:ascii="宋体" w:hAnsi="宋体" w:cs="宋体"/>
              </w:rPr>
              <w:t>、</w:t>
            </w:r>
            <w:r>
              <w:rPr>
                <w:rFonts w:ascii="宋体" w:hAnsi="宋体" w:cs="宋体"/>
              </w:rPr>
              <w:t>20</w:t>
            </w:r>
            <w:r>
              <w:rPr>
                <w:rFonts w:hint="eastAsia" w:ascii="宋体" w:hAnsi="宋体" w:cs="宋体"/>
              </w:rPr>
              <w:t>20年</w:t>
            </w:r>
            <w:r>
              <w:rPr>
                <w:rFonts w:ascii="宋体" w:hAnsi="宋体" w:cs="宋体"/>
              </w:rPr>
              <w:t>1</w:t>
            </w:r>
            <w:r>
              <w:rPr>
                <w:rFonts w:hint="eastAsia" w:ascii="宋体" w:hAnsi="宋体" w:cs="宋体"/>
              </w:rPr>
              <w:t>月1日以来（以获奖证书时间为准），投标单位所从事的工作人员获得市级或以上建设工程造价管理处所评选的优秀造价工程师的，每个人员得1分，满分5分，同一人员不重复计分。</w:t>
            </w:r>
          </w:p>
          <w:p>
            <w:pPr>
              <w:spacing w:line="360" w:lineRule="auto"/>
              <w:jc w:val="left"/>
              <w:textAlignment w:val="baseline"/>
              <w:rPr>
                <w:rFonts w:ascii="宋体" w:cs="Times New Roman"/>
              </w:rPr>
            </w:pPr>
            <w:r>
              <w:rPr>
                <w:rFonts w:hint="eastAsia" w:ascii="宋体" w:hAnsi="宋体" w:cs="宋体"/>
              </w:rPr>
              <w:t>提供人员相关证明材料复印件及投标单位为其缴纳的</w:t>
            </w:r>
            <w:r>
              <w:rPr>
                <w:rFonts w:ascii="宋体" w:hAnsi="宋体" w:cs="宋体"/>
              </w:rPr>
              <w:t>2022</w:t>
            </w:r>
            <w:r>
              <w:rPr>
                <w:rFonts w:hint="eastAsia" w:ascii="宋体" w:hAnsi="宋体" w:cs="宋体"/>
              </w:rPr>
              <w:t>年3月</w:t>
            </w:r>
            <w:r>
              <w:rPr>
                <w:rFonts w:ascii="宋体" w:hAnsi="宋体" w:cs="宋体"/>
              </w:rPr>
              <w:t>-</w:t>
            </w:r>
            <w:r>
              <w:rPr>
                <w:rFonts w:hint="eastAsia" w:ascii="宋体" w:hAnsi="宋体" w:cs="宋体"/>
              </w:rPr>
              <w:t>8月连续</w:t>
            </w:r>
            <w:r>
              <w:rPr>
                <w:rFonts w:ascii="宋体" w:hAnsi="宋体" w:cs="宋体"/>
              </w:rPr>
              <w:t>6</w:t>
            </w:r>
            <w:r>
              <w:rPr>
                <w:rFonts w:hint="eastAsia" w:ascii="宋体" w:hAnsi="宋体" w:cs="宋体"/>
              </w:rPr>
              <w:t>个月的社保缴纳证明。提供不全或未提供均不得分。</w:t>
            </w:r>
          </w:p>
        </w:tc>
        <w:tc>
          <w:tcPr>
            <w:tcW w:w="832" w:type="dxa"/>
            <w:tcBorders>
              <w:top w:val="single" w:color="auto" w:sz="4" w:space="0"/>
              <w:left w:val="nil"/>
              <w:right w:val="single" w:color="auto" w:sz="4" w:space="0"/>
            </w:tcBorders>
            <w:vAlign w:val="center"/>
          </w:tcPr>
          <w:p>
            <w:pPr>
              <w:spacing w:line="360" w:lineRule="auto"/>
              <w:jc w:val="center"/>
              <w:textAlignment w:val="baseline"/>
              <w:rPr>
                <w:rFonts w:ascii="宋体" w:cs="Times New Roman"/>
              </w:rPr>
            </w:pPr>
            <w:r>
              <w:rPr>
                <w:rFonts w:hint="eastAsia" w:ascii="宋体" w:cs="Times New Roman"/>
              </w:rPr>
              <w:t>5</w:t>
            </w:r>
          </w:p>
        </w:tc>
      </w:tr>
      <w:tr>
        <w:tblPrEx>
          <w:tblCellMar>
            <w:top w:w="0" w:type="dxa"/>
            <w:left w:w="108" w:type="dxa"/>
            <w:bottom w:w="0" w:type="dxa"/>
            <w:right w:w="108" w:type="dxa"/>
          </w:tblCellMar>
        </w:tblPrEx>
        <w:trPr>
          <w:trHeight w:val="471" w:hRule="atLeast"/>
          <w:jc w:val="center"/>
        </w:trPr>
        <w:tc>
          <w:tcPr>
            <w:tcW w:w="656" w:type="dxa"/>
            <w:vMerge w:val="continue"/>
            <w:tcBorders>
              <w:left w:val="single" w:color="auto" w:sz="4" w:space="0"/>
              <w:right w:val="single" w:color="auto" w:sz="4" w:space="0"/>
            </w:tcBorders>
            <w:vAlign w:val="center"/>
          </w:tcPr>
          <w:p>
            <w:pPr>
              <w:spacing w:line="360" w:lineRule="auto"/>
              <w:jc w:val="center"/>
              <w:textAlignment w:val="baseline"/>
              <w:rPr>
                <w:rFonts w:ascii="宋体" w:cs="Times New Roman"/>
                <w:sz w:val="20"/>
                <w:szCs w:val="20"/>
              </w:rPr>
            </w:pPr>
          </w:p>
        </w:tc>
        <w:tc>
          <w:tcPr>
            <w:tcW w:w="1579" w:type="dxa"/>
            <w:vMerge w:val="continue"/>
            <w:tcBorders>
              <w:left w:val="nil"/>
              <w:right w:val="single" w:color="auto" w:sz="4" w:space="0"/>
            </w:tcBorders>
            <w:vAlign w:val="center"/>
          </w:tcPr>
          <w:p>
            <w:pPr>
              <w:spacing w:line="360" w:lineRule="auto"/>
              <w:jc w:val="left"/>
              <w:textAlignment w:val="baseline"/>
              <w:rPr>
                <w:rFonts w:ascii="宋体" w:cs="Times New Roman"/>
                <w:sz w:val="20"/>
                <w:szCs w:val="20"/>
              </w:rPr>
            </w:pPr>
          </w:p>
        </w:tc>
        <w:tc>
          <w:tcPr>
            <w:tcW w:w="6945"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宋体" w:cs="Times New Roman"/>
              </w:rPr>
            </w:pPr>
            <w:r>
              <w:rPr>
                <w:rFonts w:ascii="宋体" w:hAnsi="宋体" w:cs="宋体"/>
              </w:rPr>
              <w:t>3</w:t>
            </w:r>
            <w:r>
              <w:rPr>
                <w:rFonts w:hint="eastAsia" w:ascii="宋体" w:hAnsi="宋体" w:cs="宋体"/>
              </w:rPr>
              <w:t>、</w:t>
            </w:r>
            <w:r>
              <w:rPr>
                <w:rFonts w:hint="eastAsia" w:ascii="宋体" w:hAnsi="宋体" w:cs="宋体"/>
                <w:shd w:val="clear" w:color="auto" w:fill="FFFFFF"/>
              </w:rPr>
              <w:t>拟派项目负责人具有高级技术职称的得2分。</w:t>
            </w:r>
          </w:p>
          <w:p>
            <w:pPr>
              <w:spacing w:line="360" w:lineRule="auto"/>
              <w:jc w:val="left"/>
              <w:textAlignment w:val="baseline"/>
              <w:rPr>
                <w:rFonts w:ascii="宋体" w:cs="Times New Roman"/>
              </w:rPr>
            </w:pPr>
            <w:r>
              <w:rPr>
                <w:rFonts w:hint="eastAsia" w:ascii="宋体" w:hAnsi="宋体" w:cs="宋体"/>
              </w:rPr>
              <w:t>提供负责人相关职称证书复印件，及投标单位为其缴纳的</w:t>
            </w:r>
            <w:r>
              <w:rPr>
                <w:rFonts w:ascii="宋体" w:hAnsi="宋体" w:cs="宋体"/>
              </w:rPr>
              <w:t>2022</w:t>
            </w:r>
            <w:r>
              <w:rPr>
                <w:rFonts w:hint="eastAsia" w:ascii="宋体" w:hAnsi="宋体" w:cs="宋体"/>
              </w:rPr>
              <w:t>年3月</w:t>
            </w:r>
            <w:r>
              <w:rPr>
                <w:rFonts w:ascii="宋体" w:hAnsi="宋体" w:cs="宋体"/>
              </w:rPr>
              <w:t>-</w:t>
            </w:r>
            <w:r>
              <w:rPr>
                <w:rFonts w:hint="eastAsia" w:ascii="宋体" w:hAnsi="宋体" w:cs="宋体"/>
              </w:rPr>
              <w:t>8月连续</w:t>
            </w:r>
            <w:r>
              <w:rPr>
                <w:rFonts w:ascii="宋体" w:hAnsi="宋体" w:cs="宋体"/>
              </w:rPr>
              <w:t>6</w:t>
            </w:r>
            <w:r>
              <w:rPr>
                <w:rFonts w:hint="eastAsia" w:ascii="宋体" w:hAnsi="宋体" w:cs="宋体"/>
              </w:rPr>
              <w:t>个月的社保缴纳证明，如为退休人员须提供退休证书及聘用合同复印件。提供不全或未提供均不得分。</w:t>
            </w:r>
          </w:p>
        </w:tc>
        <w:tc>
          <w:tcPr>
            <w:tcW w:w="832" w:type="dxa"/>
            <w:tcBorders>
              <w:top w:val="single" w:color="auto" w:sz="4" w:space="0"/>
              <w:left w:val="nil"/>
              <w:bottom w:val="single" w:color="auto" w:sz="4" w:space="0"/>
              <w:right w:val="single" w:color="auto" w:sz="4" w:space="0"/>
            </w:tcBorders>
            <w:vAlign w:val="center"/>
          </w:tcPr>
          <w:p>
            <w:pPr>
              <w:spacing w:line="360" w:lineRule="auto"/>
              <w:ind w:firstLine="100" w:firstLineChars="50"/>
              <w:textAlignment w:val="baseline"/>
              <w:rPr>
                <w:rFonts w:ascii="宋体" w:cs="Times New Roman"/>
                <w:sz w:val="20"/>
                <w:szCs w:val="20"/>
              </w:rPr>
            </w:pPr>
            <w:r>
              <w:rPr>
                <w:rFonts w:hint="eastAsia" w:ascii="宋体" w:cs="Times New Roman"/>
                <w:sz w:val="20"/>
                <w:szCs w:val="20"/>
              </w:rPr>
              <w:t>2</w:t>
            </w:r>
          </w:p>
        </w:tc>
      </w:tr>
      <w:tr>
        <w:tblPrEx>
          <w:tblCellMar>
            <w:top w:w="0" w:type="dxa"/>
            <w:left w:w="108" w:type="dxa"/>
            <w:bottom w:w="0" w:type="dxa"/>
            <w:right w:w="108" w:type="dxa"/>
          </w:tblCellMar>
        </w:tblPrEx>
        <w:trPr>
          <w:trHeight w:val="471" w:hRule="atLeast"/>
          <w:jc w:val="center"/>
        </w:trPr>
        <w:tc>
          <w:tcPr>
            <w:tcW w:w="656" w:type="dxa"/>
            <w:vMerge w:val="continue"/>
            <w:tcBorders>
              <w:left w:val="single" w:color="auto" w:sz="4" w:space="0"/>
              <w:bottom w:val="single" w:color="auto" w:sz="4" w:space="0"/>
              <w:right w:val="single" w:color="auto" w:sz="4" w:space="0"/>
            </w:tcBorders>
            <w:vAlign w:val="center"/>
          </w:tcPr>
          <w:p>
            <w:pPr>
              <w:spacing w:line="360" w:lineRule="auto"/>
              <w:jc w:val="center"/>
              <w:textAlignment w:val="baseline"/>
              <w:rPr>
                <w:rFonts w:ascii="宋体" w:cs="Times New Roman"/>
                <w:sz w:val="20"/>
                <w:szCs w:val="20"/>
              </w:rPr>
            </w:pPr>
          </w:p>
        </w:tc>
        <w:tc>
          <w:tcPr>
            <w:tcW w:w="1579" w:type="dxa"/>
            <w:vMerge w:val="continue"/>
            <w:tcBorders>
              <w:left w:val="nil"/>
              <w:bottom w:val="single" w:color="auto" w:sz="4" w:space="0"/>
              <w:right w:val="single" w:color="auto" w:sz="4" w:space="0"/>
            </w:tcBorders>
            <w:vAlign w:val="center"/>
          </w:tcPr>
          <w:p>
            <w:pPr>
              <w:spacing w:line="360" w:lineRule="auto"/>
              <w:jc w:val="left"/>
              <w:textAlignment w:val="baseline"/>
              <w:rPr>
                <w:rFonts w:ascii="宋体" w:cs="Times New Roman"/>
                <w:sz w:val="20"/>
                <w:szCs w:val="20"/>
              </w:rPr>
            </w:pPr>
          </w:p>
        </w:tc>
        <w:tc>
          <w:tcPr>
            <w:tcW w:w="6945" w:type="dxa"/>
            <w:tcBorders>
              <w:top w:val="single" w:color="auto" w:sz="4" w:space="0"/>
              <w:left w:val="nil"/>
              <w:bottom w:val="single" w:color="auto" w:sz="4" w:space="0"/>
              <w:right w:val="single" w:color="auto" w:sz="4" w:space="0"/>
            </w:tcBorders>
            <w:vAlign w:val="center"/>
          </w:tcPr>
          <w:p>
            <w:pPr>
              <w:pStyle w:val="8"/>
              <w:spacing w:line="360" w:lineRule="auto"/>
              <w:rPr>
                <w:rFonts w:cs="Times New Roman"/>
              </w:rPr>
            </w:pPr>
            <w:r>
              <w:rPr>
                <w:rFonts w:hint="eastAsia" w:cs="宋体"/>
              </w:rPr>
              <w:t>4、</w:t>
            </w:r>
            <w:r>
              <w:rPr>
                <w:rFonts w:hint="eastAsia"/>
              </w:rPr>
              <w:t>投标企业获得省级工程造价咨询企业信用评价且在有效期内，5</w:t>
            </w:r>
            <w:r>
              <w:t>A</w:t>
            </w:r>
            <w:r>
              <w:rPr>
                <w:rFonts w:hint="eastAsia"/>
              </w:rPr>
              <w:t>得6分，4</w:t>
            </w:r>
            <w:r>
              <w:t>A</w:t>
            </w:r>
            <w:r>
              <w:rPr>
                <w:rFonts w:hint="eastAsia"/>
              </w:rPr>
              <w:t>得4分，3</w:t>
            </w:r>
            <w:r>
              <w:t>A</w:t>
            </w:r>
            <w:r>
              <w:rPr>
                <w:rFonts w:hint="eastAsia"/>
              </w:rPr>
              <w:t>得2分，2</w:t>
            </w:r>
            <w:r>
              <w:t>A</w:t>
            </w:r>
            <w:r>
              <w:rPr>
                <w:rFonts w:hint="eastAsia"/>
              </w:rPr>
              <w:t>级以下不得分</w:t>
            </w:r>
            <w:r>
              <w:rPr>
                <w:rFonts w:hint="eastAsia" w:cs="宋体"/>
              </w:rPr>
              <w:t>。提供有效证明材料。</w:t>
            </w:r>
          </w:p>
        </w:tc>
        <w:tc>
          <w:tcPr>
            <w:tcW w:w="832" w:type="dxa"/>
            <w:tcBorders>
              <w:top w:val="single" w:color="auto" w:sz="4" w:space="0"/>
              <w:left w:val="nil"/>
              <w:bottom w:val="single" w:color="auto" w:sz="4" w:space="0"/>
              <w:right w:val="single" w:color="auto" w:sz="4" w:space="0"/>
            </w:tcBorders>
            <w:vAlign w:val="center"/>
          </w:tcPr>
          <w:p>
            <w:pPr>
              <w:spacing w:line="360" w:lineRule="auto"/>
              <w:ind w:firstLine="100" w:firstLineChars="50"/>
              <w:textAlignment w:val="baseline"/>
              <w:rPr>
                <w:rFonts w:ascii="宋体" w:cs="Times New Roman"/>
                <w:sz w:val="20"/>
                <w:szCs w:val="20"/>
              </w:rPr>
            </w:pPr>
            <w:r>
              <w:rPr>
                <w:rFonts w:hint="eastAsia" w:ascii="宋体" w:cs="Times New Roman"/>
                <w:sz w:val="20"/>
                <w:szCs w:val="20"/>
              </w:rPr>
              <w:t>6</w:t>
            </w:r>
          </w:p>
        </w:tc>
      </w:tr>
      <w:tr>
        <w:tblPrEx>
          <w:tblCellMar>
            <w:top w:w="0" w:type="dxa"/>
            <w:left w:w="108" w:type="dxa"/>
            <w:bottom w:w="0" w:type="dxa"/>
            <w:right w:w="108" w:type="dxa"/>
          </w:tblCellMar>
        </w:tblPrEx>
        <w:trPr>
          <w:trHeight w:val="471"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cs="Times New Roman"/>
              </w:rPr>
            </w:pPr>
            <w:r>
              <w:rPr>
                <w:rFonts w:hint="eastAsia" w:ascii="宋体" w:hAnsi="宋体" w:cs="宋体"/>
              </w:rPr>
              <w:t>二</w:t>
            </w:r>
          </w:p>
        </w:tc>
        <w:tc>
          <w:tcPr>
            <w:tcW w:w="1579"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cs="Times New Roman"/>
              </w:rPr>
            </w:pPr>
            <w:r>
              <w:rPr>
                <w:rFonts w:hint="eastAsia" w:ascii="宋体" w:hAnsi="宋体" w:cs="宋体"/>
              </w:rPr>
              <w:t>业绩</w:t>
            </w:r>
          </w:p>
        </w:tc>
        <w:tc>
          <w:tcPr>
            <w:tcW w:w="6945" w:type="dxa"/>
            <w:tcBorders>
              <w:top w:val="single" w:color="auto" w:sz="4" w:space="0"/>
              <w:left w:val="nil"/>
              <w:bottom w:val="single" w:color="auto" w:sz="4" w:space="0"/>
              <w:right w:val="single" w:color="auto" w:sz="4" w:space="0"/>
            </w:tcBorders>
            <w:vAlign w:val="center"/>
          </w:tcPr>
          <w:p>
            <w:pPr>
              <w:spacing w:line="360" w:lineRule="auto"/>
              <w:ind w:firstLine="100" w:firstLineChars="50"/>
              <w:textAlignment w:val="baseline"/>
              <w:rPr>
                <w:rFonts w:ascii="宋体" w:cs="Times New Roman"/>
                <w:sz w:val="20"/>
                <w:szCs w:val="20"/>
              </w:rPr>
            </w:pPr>
            <w:r>
              <w:rPr>
                <w:rFonts w:ascii="宋体" w:cs="Times New Roman"/>
                <w:sz w:val="20"/>
                <w:szCs w:val="20"/>
              </w:rPr>
              <w:t>2019</w:t>
            </w:r>
            <w:r>
              <w:rPr>
                <w:rFonts w:hint="eastAsia" w:ascii="宋体" w:cs="Times New Roman"/>
                <w:sz w:val="20"/>
                <w:szCs w:val="20"/>
              </w:rPr>
              <w:t>年</w:t>
            </w:r>
            <w:r>
              <w:rPr>
                <w:rFonts w:ascii="宋体" w:cs="Times New Roman"/>
                <w:sz w:val="20"/>
                <w:szCs w:val="20"/>
              </w:rPr>
              <w:t>1</w:t>
            </w:r>
            <w:r>
              <w:rPr>
                <w:rFonts w:hint="eastAsia" w:ascii="宋体" w:cs="Times New Roman"/>
                <w:sz w:val="20"/>
                <w:szCs w:val="20"/>
              </w:rPr>
              <w:t>月1日以来（以合同签订时间为准），投标单位具有类似医院工程招标控制价编审、工程结算审核业绩的（以造价咨询合同和造价咨询报告为准，或造价咨询合同和业绩证明为准，同一个项目不得分拆计算）。</w:t>
            </w:r>
          </w:p>
          <w:p>
            <w:pPr>
              <w:spacing w:line="360" w:lineRule="auto"/>
              <w:ind w:firstLine="100" w:firstLineChars="50"/>
              <w:textAlignment w:val="baseline"/>
              <w:rPr>
                <w:rFonts w:ascii="宋体" w:cs="Times New Roman"/>
                <w:sz w:val="20"/>
                <w:szCs w:val="20"/>
              </w:rPr>
            </w:pPr>
            <w:r>
              <w:rPr>
                <w:rFonts w:hint="eastAsia" w:ascii="宋体" w:cs="Times New Roman"/>
                <w:sz w:val="20"/>
                <w:szCs w:val="20"/>
              </w:rPr>
              <w:t>一个业绩得2分，最多得6分。</w:t>
            </w:r>
          </w:p>
        </w:tc>
        <w:tc>
          <w:tcPr>
            <w:tcW w:w="832" w:type="dxa"/>
            <w:tcBorders>
              <w:top w:val="single" w:color="auto" w:sz="4" w:space="0"/>
              <w:left w:val="nil"/>
              <w:bottom w:val="single" w:color="auto" w:sz="4" w:space="0"/>
              <w:right w:val="single" w:color="auto" w:sz="4" w:space="0"/>
            </w:tcBorders>
            <w:vAlign w:val="center"/>
          </w:tcPr>
          <w:p>
            <w:pPr>
              <w:spacing w:line="360" w:lineRule="auto"/>
              <w:ind w:firstLine="100" w:firstLineChars="50"/>
              <w:textAlignment w:val="baseline"/>
              <w:rPr>
                <w:rFonts w:ascii="宋体" w:cs="Times New Roman"/>
                <w:sz w:val="20"/>
                <w:szCs w:val="20"/>
              </w:rPr>
            </w:pPr>
            <w:r>
              <w:rPr>
                <w:rFonts w:hint="eastAsia" w:ascii="宋体" w:cs="Times New Roman"/>
                <w:sz w:val="20"/>
                <w:szCs w:val="20"/>
              </w:rPr>
              <w:t>6</w:t>
            </w:r>
          </w:p>
        </w:tc>
      </w:tr>
      <w:tr>
        <w:tblPrEx>
          <w:tblCellMar>
            <w:top w:w="0" w:type="dxa"/>
            <w:left w:w="108" w:type="dxa"/>
            <w:bottom w:w="0" w:type="dxa"/>
            <w:right w:w="108" w:type="dxa"/>
          </w:tblCellMar>
        </w:tblPrEx>
        <w:trPr>
          <w:trHeight w:val="471"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cs="Times New Roman"/>
              </w:rPr>
            </w:pPr>
            <w:r>
              <w:rPr>
                <w:rFonts w:hint="eastAsia" w:ascii="宋体" w:hAnsi="宋体" w:cs="宋体"/>
              </w:rPr>
              <w:t>三</w:t>
            </w:r>
          </w:p>
        </w:tc>
        <w:tc>
          <w:tcPr>
            <w:tcW w:w="1579" w:type="dxa"/>
            <w:tcBorders>
              <w:top w:val="single" w:color="auto" w:sz="4" w:space="0"/>
              <w:left w:val="nil"/>
              <w:bottom w:val="single" w:color="auto" w:sz="4" w:space="0"/>
              <w:right w:val="single" w:color="auto" w:sz="4" w:space="0"/>
            </w:tcBorders>
            <w:vAlign w:val="center"/>
          </w:tcPr>
          <w:p>
            <w:pPr>
              <w:spacing w:line="360" w:lineRule="auto"/>
              <w:ind w:firstLine="105" w:firstLineChars="50"/>
              <w:jc w:val="center"/>
              <w:textAlignment w:val="baseline"/>
              <w:rPr>
                <w:rFonts w:ascii="宋体" w:cs="Times New Roman"/>
              </w:rPr>
            </w:pPr>
            <w:r>
              <w:rPr>
                <w:rFonts w:hint="eastAsia" w:ascii="宋体" w:hAnsi="宋体" w:cs="宋体"/>
              </w:rPr>
              <w:t>服务承诺</w:t>
            </w:r>
          </w:p>
        </w:tc>
        <w:tc>
          <w:tcPr>
            <w:tcW w:w="6945" w:type="dxa"/>
            <w:tcBorders>
              <w:top w:val="single" w:color="auto" w:sz="4" w:space="0"/>
              <w:left w:val="nil"/>
              <w:bottom w:val="single" w:color="auto" w:sz="4" w:space="0"/>
              <w:right w:val="single" w:color="auto" w:sz="4" w:space="0"/>
            </w:tcBorders>
            <w:vAlign w:val="center"/>
          </w:tcPr>
          <w:p>
            <w:pPr>
              <w:spacing w:line="500" w:lineRule="exact"/>
              <w:rPr>
                <w:rFonts w:ascii="宋体" w:cs="Times New Roman"/>
              </w:rPr>
            </w:pPr>
            <w:r>
              <w:rPr>
                <w:rFonts w:ascii="宋体" w:hAnsi="宋体" w:cs="宋体"/>
              </w:rPr>
              <w:t>1</w:t>
            </w:r>
            <w:r>
              <w:rPr>
                <w:rFonts w:hint="eastAsia" w:ascii="宋体" w:hAnsi="宋体" w:cs="宋体"/>
              </w:rPr>
              <w:t>、所有的工程审计，项目组成员都必须到达现场，在我院审计科人员陪同下进行实地勘测并报告中提供现场勘测的书面及图片资料，得3分。</w:t>
            </w:r>
          </w:p>
          <w:p>
            <w:pPr>
              <w:spacing w:line="500" w:lineRule="exact"/>
              <w:rPr>
                <w:rFonts w:ascii="宋体" w:hAnsi="宋体" w:cs="宋体"/>
              </w:rPr>
            </w:pPr>
            <w:r>
              <w:rPr>
                <w:rFonts w:ascii="宋体" w:hAnsi="宋体" w:cs="宋体"/>
              </w:rPr>
              <w:t>2</w:t>
            </w:r>
            <w:r>
              <w:rPr>
                <w:rFonts w:hint="eastAsia" w:ascii="宋体" w:hAnsi="宋体" w:cs="宋体"/>
              </w:rPr>
              <w:t>、所有的工程审计在资料齐全的前提下，承诺在</w:t>
            </w:r>
            <w:r>
              <w:rPr>
                <w:rFonts w:ascii="宋体" w:hAnsi="宋体" w:cs="宋体"/>
              </w:rPr>
              <w:t>2</w:t>
            </w:r>
            <w:r>
              <w:rPr>
                <w:rFonts w:hint="eastAsia" w:ascii="宋体" w:hAnsi="宋体" w:cs="宋体"/>
              </w:rPr>
              <w:t>周内出报告，加急情况下</w:t>
            </w:r>
            <w:r>
              <w:rPr>
                <w:rFonts w:ascii="宋体" w:hAnsi="宋体" w:cs="宋体"/>
              </w:rPr>
              <w:t>3</w:t>
            </w:r>
            <w:r>
              <w:rPr>
                <w:rFonts w:hint="eastAsia" w:ascii="宋体" w:hAnsi="宋体" w:cs="宋体"/>
              </w:rPr>
              <w:t>天内出报告，得3分。</w:t>
            </w:r>
          </w:p>
          <w:p>
            <w:pPr>
              <w:spacing w:line="500" w:lineRule="exact"/>
              <w:rPr>
                <w:rFonts w:ascii="宋体" w:cs="Times New Roman"/>
              </w:rPr>
            </w:pPr>
            <w:r>
              <w:rPr>
                <w:rFonts w:hint="eastAsia" w:ascii="宋体" w:hAnsi="宋体" w:cs="宋体"/>
              </w:rPr>
              <w:t>注：上述1、2由投标单位自行出具加盖投标单位公章的承诺函及惩罚措施，无承诺及惩罚措施的不得分。</w:t>
            </w:r>
          </w:p>
        </w:tc>
        <w:tc>
          <w:tcPr>
            <w:tcW w:w="832"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cs="Times New Roman"/>
              </w:rPr>
            </w:pPr>
            <w:r>
              <w:rPr>
                <w:rFonts w:hint="eastAsia" w:ascii="宋体" w:cs="Times New Roman"/>
              </w:rPr>
              <w:t>6</w:t>
            </w:r>
          </w:p>
        </w:tc>
      </w:tr>
      <w:tr>
        <w:tblPrEx>
          <w:tblCellMar>
            <w:top w:w="0" w:type="dxa"/>
            <w:left w:w="108" w:type="dxa"/>
            <w:bottom w:w="0" w:type="dxa"/>
            <w:right w:w="108" w:type="dxa"/>
          </w:tblCellMar>
        </w:tblPrEx>
        <w:trPr>
          <w:trHeight w:val="471"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hAnsi="宋体" w:cs="宋体"/>
              </w:rPr>
            </w:pPr>
            <w:r>
              <w:rPr>
                <w:rFonts w:hint="eastAsia" w:ascii="宋体" w:hAnsi="宋体" w:cs="宋体"/>
              </w:rPr>
              <w:t>四</w:t>
            </w:r>
          </w:p>
        </w:tc>
        <w:tc>
          <w:tcPr>
            <w:tcW w:w="1579" w:type="dxa"/>
            <w:tcBorders>
              <w:top w:val="single" w:color="auto" w:sz="4" w:space="0"/>
              <w:left w:val="nil"/>
              <w:bottom w:val="single" w:color="auto" w:sz="4" w:space="0"/>
              <w:right w:val="single" w:color="auto" w:sz="4" w:space="0"/>
            </w:tcBorders>
            <w:vAlign w:val="center"/>
          </w:tcPr>
          <w:p>
            <w:pPr>
              <w:spacing w:line="360" w:lineRule="auto"/>
              <w:ind w:firstLine="105" w:firstLineChars="50"/>
              <w:jc w:val="center"/>
              <w:textAlignment w:val="baseline"/>
              <w:rPr>
                <w:rFonts w:ascii="宋体" w:cs="Times New Roman"/>
              </w:rPr>
            </w:pPr>
            <w:r>
              <w:rPr>
                <w:rFonts w:hint="eastAsia" w:ascii="宋体" w:cs="Times New Roman"/>
              </w:rPr>
              <w:t>服务承诺方案</w:t>
            </w:r>
          </w:p>
        </w:tc>
        <w:tc>
          <w:tcPr>
            <w:tcW w:w="6945" w:type="dxa"/>
            <w:tcBorders>
              <w:top w:val="single" w:color="auto" w:sz="4" w:space="0"/>
              <w:left w:val="nil"/>
              <w:bottom w:val="single" w:color="auto" w:sz="4" w:space="0"/>
              <w:right w:val="single" w:color="auto" w:sz="4" w:space="0"/>
            </w:tcBorders>
            <w:vAlign w:val="center"/>
          </w:tcPr>
          <w:p>
            <w:pPr>
              <w:spacing w:line="500" w:lineRule="exact"/>
            </w:pPr>
            <w:r>
              <w:rPr>
                <w:rFonts w:hint="eastAsia"/>
              </w:rPr>
              <w:t>根据医院建设项目的特点，编制科学、合理、操作性强的咨询服务方案，包括：人员管理、质量管理、进度管理、档案管理、廉洁管理等内容。</w:t>
            </w:r>
          </w:p>
          <w:p>
            <w:pPr>
              <w:pStyle w:val="2"/>
              <w:ind w:left="0" w:leftChars="0" w:firstLine="0" w:firstLineChars="0"/>
              <w:rPr>
                <w:rFonts w:ascii="宋体" w:hAnsi="宋体" w:cs="宋体"/>
              </w:rPr>
            </w:pPr>
            <w:r>
              <w:rPr>
                <w:rFonts w:hint="eastAsia" w:ascii="宋体" w:hAnsi="宋体" w:cs="宋体"/>
              </w:rPr>
              <w:t>人员管理：0-2分</w:t>
            </w:r>
          </w:p>
          <w:p>
            <w:pPr>
              <w:pStyle w:val="2"/>
              <w:ind w:left="0" w:leftChars="0" w:firstLine="0" w:firstLineChars="0"/>
              <w:rPr>
                <w:rFonts w:ascii="宋体" w:hAnsi="宋体" w:cs="宋体"/>
              </w:rPr>
            </w:pPr>
            <w:r>
              <w:rPr>
                <w:rFonts w:hint="eastAsia" w:ascii="宋体" w:hAnsi="宋体" w:cs="宋体"/>
              </w:rPr>
              <w:t>质量管理：0-3分</w:t>
            </w:r>
          </w:p>
          <w:p>
            <w:pPr>
              <w:pStyle w:val="2"/>
              <w:ind w:left="0" w:leftChars="0" w:firstLine="0" w:firstLineChars="0"/>
              <w:rPr>
                <w:rFonts w:ascii="宋体" w:hAnsi="宋体" w:cs="宋体"/>
              </w:rPr>
            </w:pPr>
            <w:r>
              <w:rPr>
                <w:rFonts w:hint="eastAsia" w:ascii="宋体" w:hAnsi="宋体" w:cs="宋体"/>
              </w:rPr>
              <w:t>进度管理：0-3分</w:t>
            </w:r>
          </w:p>
          <w:p>
            <w:pPr>
              <w:pStyle w:val="2"/>
              <w:ind w:left="0" w:leftChars="0" w:firstLine="0" w:firstLineChars="0"/>
              <w:rPr>
                <w:rFonts w:ascii="宋体" w:hAnsi="宋体" w:cs="宋体"/>
              </w:rPr>
            </w:pPr>
            <w:r>
              <w:rPr>
                <w:rFonts w:hint="eastAsia" w:ascii="宋体" w:hAnsi="宋体" w:cs="宋体"/>
              </w:rPr>
              <w:t>档案管理：0-1分</w:t>
            </w:r>
          </w:p>
          <w:p>
            <w:pPr>
              <w:pStyle w:val="2"/>
              <w:ind w:left="0" w:leftChars="0" w:firstLine="0" w:firstLineChars="0"/>
              <w:rPr>
                <w:rFonts w:ascii="宋体" w:hAnsi="宋体" w:cs="宋体"/>
              </w:rPr>
            </w:pPr>
            <w:r>
              <w:rPr>
                <w:rFonts w:hint="eastAsia" w:ascii="宋体" w:hAnsi="宋体" w:cs="宋体"/>
              </w:rPr>
              <w:t>廉洁管理：0-1分</w:t>
            </w:r>
          </w:p>
        </w:tc>
        <w:tc>
          <w:tcPr>
            <w:tcW w:w="832"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cs="Times New Roman"/>
              </w:rPr>
            </w:pPr>
            <w:r>
              <w:rPr>
                <w:rFonts w:hint="eastAsia" w:ascii="宋体" w:cs="Times New Roman"/>
              </w:rPr>
              <w:t>10</w:t>
            </w:r>
          </w:p>
        </w:tc>
      </w:tr>
      <w:tr>
        <w:tblPrEx>
          <w:tblCellMar>
            <w:top w:w="0" w:type="dxa"/>
            <w:left w:w="108" w:type="dxa"/>
            <w:bottom w:w="0" w:type="dxa"/>
            <w:right w:w="108" w:type="dxa"/>
          </w:tblCellMar>
        </w:tblPrEx>
        <w:trPr>
          <w:trHeight w:val="260" w:hRule="atLeast"/>
          <w:jc w:val="center"/>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textAlignment w:val="baseline"/>
              <w:rPr>
                <w:rFonts w:ascii="宋体" w:cs="Times New Roman"/>
                <w:sz w:val="20"/>
                <w:szCs w:val="20"/>
              </w:rPr>
            </w:pPr>
            <w:r>
              <w:rPr>
                <w:rFonts w:hint="eastAsia" w:ascii="宋体" w:hAnsi="宋体" w:cs="宋体"/>
              </w:rPr>
              <w:t>合计</w:t>
            </w:r>
          </w:p>
        </w:tc>
        <w:tc>
          <w:tcPr>
            <w:tcW w:w="832"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宋体" w:cs="Times New Roman"/>
                <w:sz w:val="20"/>
                <w:szCs w:val="20"/>
              </w:rPr>
            </w:pPr>
            <w:r>
              <w:rPr>
                <w:rFonts w:hint="eastAsia" w:ascii="宋体" w:cs="Times New Roman"/>
                <w:sz w:val="20"/>
                <w:szCs w:val="20"/>
              </w:rPr>
              <w:t>40</w:t>
            </w:r>
          </w:p>
        </w:tc>
      </w:tr>
    </w:tbl>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注：以上证明材料提供原件复印件加盖公章，并将原件带至开标现场备查，未携带原件或因携带原件不全所引起的后果由投标单位自行承担。</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（二）报价分（60分）：</w:t>
      </w:r>
      <w:r>
        <w:rPr>
          <w:rFonts w:ascii="Times New Roman" w:hAnsi="Times New Roman" w:cs="Times New Roman"/>
          <w:b/>
          <w:bCs/>
          <w:shd w:val="clear" w:color="auto" w:fill="FFFFFF"/>
        </w:rPr>
        <w:t xml:space="preserve"> </w:t>
      </w:r>
    </w:p>
    <w:p>
      <w:pPr>
        <w:spacing w:line="360" w:lineRule="auto"/>
        <w:ind w:firstLine="480" w:firstLineChars="200"/>
        <w:textAlignment w:val="baseline"/>
        <w:rPr>
          <w:rFonts w:ascii="宋体" w:cs="Times New Roman"/>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rPr>
        <w:t>本次项目投标报价按照造价咨询费根据苏价服【</w:t>
      </w:r>
      <w:r>
        <w:rPr>
          <w:rFonts w:ascii="宋体" w:hAnsi="宋体" w:cs="宋体"/>
          <w:b/>
          <w:bCs/>
          <w:sz w:val="24"/>
          <w:szCs w:val="24"/>
        </w:rPr>
        <w:t>2014</w:t>
      </w:r>
      <w:r>
        <w:rPr>
          <w:rFonts w:hint="eastAsia" w:ascii="宋体" w:hAnsi="宋体" w:cs="宋体"/>
          <w:b/>
          <w:bCs/>
          <w:sz w:val="24"/>
          <w:szCs w:val="24"/>
        </w:rPr>
        <w:t>】</w:t>
      </w:r>
      <w:r>
        <w:rPr>
          <w:rFonts w:ascii="宋体" w:hAnsi="宋体" w:cs="宋体"/>
          <w:b/>
          <w:bCs/>
          <w:sz w:val="24"/>
          <w:szCs w:val="24"/>
        </w:rPr>
        <w:t>383</w:t>
      </w:r>
      <w:r>
        <w:rPr>
          <w:rFonts w:hint="eastAsia" w:ascii="宋体" w:hAnsi="宋体" w:cs="宋体"/>
          <w:b/>
          <w:bCs/>
          <w:sz w:val="24"/>
          <w:szCs w:val="24"/>
        </w:rPr>
        <w:t>号文件规定标准，对招标内容审慎考虑，按下浮率方式，对造价咨询费作报价，并约定下浮率为正数。有效报价下浮率区间为（</w:t>
      </w:r>
      <w:r>
        <w:rPr>
          <w:rFonts w:ascii="宋体" w:hAnsi="宋体" w:cs="宋体"/>
          <w:b/>
          <w:bCs/>
          <w:sz w:val="24"/>
          <w:szCs w:val="24"/>
        </w:rPr>
        <w:t>30%-80%</w:t>
      </w:r>
      <w:r>
        <w:rPr>
          <w:rFonts w:hint="eastAsia" w:ascii="宋体" w:hAnsi="宋体" w:cs="宋体"/>
          <w:b/>
          <w:bCs/>
          <w:sz w:val="24"/>
          <w:szCs w:val="24"/>
        </w:rPr>
        <w:t>，含</w:t>
      </w:r>
      <w:r>
        <w:rPr>
          <w:rFonts w:ascii="宋体" w:hAnsi="宋体" w:cs="宋体"/>
          <w:b/>
          <w:bCs/>
          <w:sz w:val="24"/>
          <w:szCs w:val="24"/>
        </w:rPr>
        <w:t>30%</w:t>
      </w:r>
      <w:r>
        <w:rPr>
          <w:rFonts w:hint="eastAsia" w:ascii="宋体" w:hAnsi="宋体" w:cs="宋体"/>
          <w:b/>
          <w:bCs/>
          <w:sz w:val="24"/>
          <w:szCs w:val="24"/>
        </w:rPr>
        <w:t>、</w:t>
      </w:r>
      <w:r>
        <w:rPr>
          <w:rFonts w:ascii="宋体" w:hAnsi="宋体" w:cs="宋体"/>
          <w:b/>
          <w:bCs/>
          <w:sz w:val="24"/>
          <w:szCs w:val="24"/>
        </w:rPr>
        <w:t>80%</w:t>
      </w:r>
      <w:r>
        <w:rPr>
          <w:rFonts w:hint="eastAsia" w:ascii="宋体" w:hAnsi="宋体" w:cs="宋体"/>
          <w:b/>
          <w:bCs/>
          <w:sz w:val="24"/>
          <w:szCs w:val="24"/>
        </w:rPr>
        <w:t>），下浮率超过区间的作无效报价</w:t>
      </w:r>
      <w:r>
        <w:rPr>
          <w:rFonts w:hint="eastAsia" w:ascii="宋体" w:hAnsi="宋体" w:cs="宋体"/>
          <w:sz w:val="24"/>
          <w:szCs w:val="24"/>
        </w:rPr>
        <w:t>。</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、满足磋商文件要求且所有投标单位有效报价的算术平均值（四舍五入取整数）为评标基准价，投标报价与评标基准价相比，与评标基准价相等的得60分，每上浮</w:t>
      </w:r>
      <w:r>
        <w:rPr>
          <w:rFonts w:ascii="Times New Roman" w:hAnsi="Times New Roman" w:cs="Times New Roman"/>
          <w:sz w:val="24"/>
          <w:szCs w:val="24"/>
        </w:rPr>
        <w:t>1%</w:t>
      </w:r>
      <w:r>
        <w:rPr>
          <w:rFonts w:hint="eastAsia" w:ascii="Times New Roman" w:hAnsi="Times New Roman" w:cs="宋体"/>
          <w:sz w:val="24"/>
          <w:szCs w:val="24"/>
        </w:rPr>
        <w:t>减</w:t>
      </w:r>
      <w:r>
        <w:rPr>
          <w:rFonts w:ascii="Times New Roman" w:hAnsi="Times New Roman" w:cs="Times New Roman"/>
          <w:sz w:val="24"/>
          <w:szCs w:val="24"/>
        </w:rPr>
        <w:t>0.9</w:t>
      </w:r>
      <w:r>
        <w:rPr>
          <w:rFonts w:hint="eastAsia" w:ascii="Times New Roman" w:hAnsi="Times New Roman" w:cs="宋体"/>
          <w:sz w:val="24"/>
          <w:szCs w:val="24"/>
        </w:rPr>
        <w:t>分，每下浮</w:t>
      </w:r>
      <w:r>
        <w:rPr>
          <w:rFonts w:ascii="Times New Roman" w:hAnsi="Times New Roman" w:cs="Times New Roman"/>
          <w:sz w:val="24"/>
          <w:szCs w:val="24"/>
        </w:rPr>
        <w:t>1%</w:t>
      </w:r>
      <w:r>
        <w:rPr>
          <w:rFonts w:hint="eastAsia" w:ascii="Times New Roman" w:hAnsi="Times New Roman" w:cs="宋体"/>
          <w:sz w:val="24"/>
          <w:szCs w:val="24"/>
        </w:rPr>
        <w:t>减</w:t>
      </w:r>
      <w:r>
        <w:rPr>
          <w:rFonts w:ascii="Times New Roman" w:hAnsi="Times New Roman" w:cs="Times New Roman"/>
          <w:sz w:val="24"/>
          <w:szCs w:val="24"/>
        </w:rPr>
        <w:t>0.5</w:t>
      </w:r>
      <w:r>
        <w:rPr>
          <w:rFonts w:hint="eastAsia" w:ascii="Times New Roman" w:hAnsi="Times New Roman" w:cs="宋体"/>
          <w:sz w:val="24"/>
          <w:szCs w:val="24"/>
        </w:rPr>
        <w:t>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hd w:val="clear" w:color="auto" w:fill="FFFFFF"/>
        </w:rPr>
      </w:pPr>
      <w:r>
        <w:rPr>
          <w:rFonts w:hint="eastAsia" w:ascii="Times New Roman" w:hAnsi="Times New Roman" w:cs="宋体"/>
          <w:b/>
          <w:bCs/>
          <w:shd w:val="clear" w:color="auto" w:fill="FFFFFF"/>
        </w:rPr>
        <w:t>例：如投标单位A报价为30%、投标单位B报价为40%、投标单位C报价为50%，则评标基准价为40%，各单位报价得分：投标单位A报价为30%，为上浮10%，得分为60-10*0.9=51.00分；投标单位B报价为40%，得分为60.00分；投标单位C报价为50%，为下浮10%，得分为60-10*0.</w:t>
      </w:r>
      <w:r>
        <w:rPr>
          <w:rFonts w:hint="eastAsia" w:ascii="Times New Roman" w:hAnsi="Times New Roman" w:cs="宋体"/>
          <w:b/>
          <w:bCs/>
          <w:shd w:val="clear" w:color="auto" w:fill="FFFFFF"/>
          <w:lang w:val="en-US" w:eastAsia="zh-CN"/>
        </w:rPr>
        <w:t>5</w:t>
      </w:r>
      <w:r>
        <w:rPr>
          <w:rFonts w:hint="eastAsia" w:ascii="Times New Roman" w:hAnsi="Times New Roman" w:cs="宋体"/>
          <w:b/>
          <w:bCs/>
          <w:shd w:val="clear" w:color="auto" w:fill="FFFFFF"/>
        </w:rPr>
        <w:t>=5</w:t>
      </w:r>
      <w:r>
        <w:rPr>
          <w:rFonts w:hint="eastAsia" w:ascii="Times New Roman" w:hAnsi="Times New Roman" w:cs="宋体"/>
          <w:b/>
          <w:bCs/>
          <w:shd w:val="clear" w:color="auto" w:fill="FFFFFF"/>
          <w:lang w:val="en-US" w:eastAsia="zh-CN"/>
        </w:rPr>
        <w:t>5</w:t>
      </w:r>
      <w:r>
        <w:rPr>
          <w:rFonts w:hint="eastAsia" w:ascii="Times New Roman" w:hAnsi="Times New Roman" w:cs="宋体"/>
          <w:b/>
          <w:bCs/>
          <w:shd w:val="clear" w:color="auto" w:fill="FFFFFF"/>
        </w:rPr>
        <w:t>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hd w:val="clear" w:color="auto" w:fill="FFFFFF"/>
        </w:rPr>
      </w:pPr>
      <w:r>
        <w:rPr>
          <w:rFonts w:hint="eastAsia" w:ascii="Times New Roman" w:hAnsi="Times New Roman" w:cs="宋体"/>
          <w:b/>
          <w:bCs/>
          <w:shd w:val="clear" w:color="auto" w:fill="FFFFFF"/>
        </w:rPr>
        <w:t>以技术标与报价标之和得分高低进行排序，前</w:t>
      </w:r>
      <w:r>
        <w:rPr>
          <w:rFonts w:ascii="Times New Roman" w:hAnsi="Times New Roman" w:cs="Times New Roman"/>
          <w:b/>
          <w:bCs/>
          <w:shd w:val="clear" w:color="auto" w:fill="FFFFFF"/>
        </w:rPr>
        <w:t>3</w:t>
      </w:r>
      <w:r>
        <w:rPr>
          <w:rFonts w:hint="eastAsia" w:ascii="Times New Roman" w:hAnsi="Times New Roman" w:cs="宋体"/>
          <w:b/>
          <w:bCs/>
          <w:shd w:val="clear" w:color="auto" w:fill="FFFFFF"/>
        </w:rPr>
        <w:t>名确定为中标单位。</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hd w:val="clear" w:color="auto" w:fill="FFFFFF"/>
        </w:rPr>
      </w:pPr>
      <w:r>
        <w:rPr>
          <w:rFonts w:hint="eastAsia" w:ascii="Times New Roman" w:hAnsi="Times New Roman" w:cs="宋体"/>
          <w:b/>
          <w:bCs/>
          <w:shd w:val="clear" w:color="auto" w:fill="FFFFFF"/>
        </w:rPr>
        <w:t>注：最终中标的三家中标单位的中标下浮率，按该三家单位的下浮率的算术平均值四舍五入取整计取，即三家单位的下浮率均一样。请各投标单位在投标时充分考虑本条款，投标单位投标即为完全响应本条款，中标后如有异议，招标人有权取消其中标资格。</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五、出现下列情形之一的，作无效标处理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、响应文件未按规定要求密封、签署、盖章及主要资料不齐全的；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、响应文件的资料有虚报或者谎报的；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、响应文件中资格审查文件及技术响应文件出现磋商报价的内容；</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、不具备磋商文件规定的资格要求的；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、响应文件有重大漏项或重大不合理的；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、项目技术、方案不满足项目需求中的要求，有重大偏离或保留的；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宋体"/>
          <w:sz w:val="24"/>
          <w:szCs w:val="24"/>
        </w:rPr>
        <w:t>、投标单位的磋商报价高于自己前一轮的；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8</w:t>
      </w:r>
      <w:r>
        <w:rPr>
          <w:rFonts w:hint="eastAsia" w:ascii="Times New Roman" w:hAnsi="Times New Roman" w:cs="宋体"/>
          <w:sz w:val="24"/>
          <w:szCs w:val="24"/>
        </w:rPr>
        <w:t>、不符合法律、法规和磋商文件中规定的其他实质性响应要求的；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9</w:t>
      </w:r>
      <w:r>
        <w:rPr>
          <w:rFonts w:hint="eastAsia" w:ascii="Times New Roman" w:hAnsi="Times New Roman" w:cs="宋体"/>
          <w:sz w:val="24"/>
          <w:szCs w:val="24"/>
        </w:rPr>
        <w:t>、磋商小组依据法律法规可以认定为无效投标的其他情况；</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10</w:t>
      </w:r>
      <w:r>
        <w:rPr>
          <w:rFonts w:hint="eastAsia" w:ascii="Times New Roman" w:hAnsi="Times New Roman" w:cs="宋体"/>
          <w:sz w:val="24"/>
          <w:szCs w:val="24"/>
        </w:rPr>
        <w:t>、未按要求提供样品的（如有）。</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六、成交通知</w:t>
      </w:r>
    </w:p>
    <w:p>
      <w:pPr>
        <w:spacing w:line="360" w:lineRule="auto"/>
        <w:ind w:firstLine="480" w:firstLineChars="200"/>
        <w:textAlignment w:val="baseline"/>
        <w:rPr>
          <w:rFonts w:ascii="Times New Roman" w:hAnsi="Times New Roman" w:cs="Times New Roman"/>
          <w:kern w:val="0"/>
          <w:sz w:val="24"/>
          <w:szCs w:val="24"/>
        </w:rPr>
      </w:pPr>
      <w:r>
        <w:rPr>
          <w:rFonts w:hint="eastAsia" w:ascii="Times New Roman" w:hAnsi="Times New Roman" w:cs="宋体"/>
          <w:kern w:val="0"/>
          <w:sz w:val="24"/>
          <w:szCs w:val="24"/>
        </w:rPr>
        <w:t>成交结果在南通市第三人民医院官网公示</w:t>
      </w:r>
      <w:r>
        <w:rPr>
          <w:rFonts w:ascii="Times New Roman" w:hAnsi="Times New Roman" w:cs="Times New Roman"/>
          <w:b/>
          <w:bCs/>
          <w:kern w:val="0"/>
          <w:sz w:val="24"/>
          <w:szCs w:val="24"/>
          <w:u w:val="single"/>
        </w:rPr>
        <w:t>1</w:t>
      </w:r>
      <w:r>
        <w:rPr>
          <w:rFonts w:hint="eastAsia" w:ascii="Times New Roman" w:hAnsi="Times New Roman" w:cs="宋体"/>
          <w:kern w:val="0"/>
          <w:sz w:val="24"/>
          <w:szCs w:val="24"/>
        </w:rPr>
        <w:t>个工作日。《成交通知书》一经发出，招标单位改变成交结果，或者成交人放弃成交的，各自承担相应的法律责任。《成交通知书》是合同的组成部分。</w:t>
      </w:r>
    </w:p>
    <w:p>
      <w:pPr>
        <w:widowControl/>
        <w:jc w:val="center"/>
        <w:rPr>
          <w:rFonts w:ascii="Times New Roman" w:hAnsi="Times New Roman" w:cs="Times New Roman"/>
          <w:b/>
          <w:w w:val="80"/>
          <w:sz w:val="48"/>
          <w:szCs w:val="48"/>
        </w:rPr>
      </w:pPr>
      <w:r>
        <w:rPr>
          <w:rFonts w:ascii="Times New Roman" w:hAnsi="Times New Roman" w:cs="Times New Roman"/>
          <w:w w:val="80"/>
          <w:sz w:val="48"/>
          <w:szCs w:val="48"/>
        </w:rPr>
        <w:br w:type="page"/>
      </w:r>
      <w:r>
        <w:rPr>
          <w:rFonts w:hint="eastAsia" w:ascii="Times New Roman" w:hAnsi="Times New Roman" w:cs="宋体"/>
          <w:b/>
          <w:w w:val="80"/>
          <w:sz w:val="48"/>
          <w:szCs w:val="48"/>
        </w:rPr>
        <w:t>第五章质疑提出和处理</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一、质疑的提出</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、质疑人必须是直接参加本次磋商活动的当事人。</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、下载磋商文件的投标单位应根据第二章“投标单位须知”中第一条第</w:t>
      </w:r>
      <w:r>
        <w:rPr>
          <w:rFonts w:ascii="Times New Roman" w:hAnsi="Times New Roman" w:cs="Times New Roman"/>
          <w:sz w:val="24"/>
          <w:szCs w:val="24"/>
        </w:rPr>
        <w:t>4</w:t>
      </w:r>
      <w:r>
        <w:rPr>
          <w:rFonts w:hint="eastAsia" w:ascii="Times New Roman" w:hAnsi="Times New Roman" w:cs="宋体"/>
          <w:sz w:val="24"/>
          <w:szCs w:val="24"/>
        </w:rPr>
        <w:t>款的约定提出；响应文件接收截止后，投标单位未进行磋商登记的，不能就响应文件接收截止后的招投标过程、成交结果提出质疑；在磋商过程中，凡主持人或评审小组明确提出须由投标单位确认的事项，投标单位当场无异议的，事后不得提出质疑。</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招标单位。招标单位不具有法定调查、认定权限。</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招标单位或不负责搜集相关佐证材料等工作。</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二、《质疑函》的受理和回复</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、《质疑函》须由质疑人的法定代表人或参加本次磋商被授权人送达招标单位。</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对符合提出质疑要求的，招标单位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、招标单位负责将质疑人提出的质疑相关材料提供给相关专家或评审小组审核，并将审核意见回复质疑人。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、因质疑情况复杂，组织论证或审查时间较长的，招标单位以书面形式通知质疑人，可适当延长质疑回复处理时间。</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三、质疑处理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、质疑成立的处理。招标单位终止采购，并建议有关部门给相关当事人予以处理。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、质疑不成立的处理。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）质疑人书面《申请撤回质疑函》的，不作违约处理。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）质疑人在规定的时间内不配合进行质疑调查处理的，按自动撤回《质疑函》处理。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）质疑人不按《质疑函》格式就提出质疑的，作违约处理。同时，视情列入不良投标单位名单。</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）质疑人虽提供了相关佐证材料，但不能证明其质疑成立的，招标单位请质疑人补充相关佐证材料，仍不能证明其质疑成立的，作违约处理。并将其列入不良投标单位名单。</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）质疑人不能提供相关佐证材料的，招标单位已指出，质疑人仍然坚持提出质疑的，作违约处理。同时，列入不良投标单位名单。</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）对明显有违事实的、经相关专家或评审小组认定无依据的、经其他投标单位举证无依据的质疑，作违约处理，列入不良投标单位名单；同时，对其中每一项不成立的质疑给予质疑人</w:t>
      </w:r>
      <w:r>
        <w:rPr>
          <w:rFonts w:ascii="Times New Roman" w:hAnsi="Times New Roman" w:cs="Times New Roman"/>
          <w:sz w:val="24"/>
          <w:szCs w:val="24"/>
        </w:rPr>
        <w:t>1</w:t>
      </w:r>
      <w:r>
        <w:rPr>
          <w:rFonts w:hint="eastAsia" w:ascii="Times New Roman" w:hAnsi="Times New Roman" w:cs="宋体"/>
          <w:sz w:val="24"/>
          <w:szCs w:val="24"/>
        </w:rPr>
        <w:t>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宋体"/>
          <w:sz w:val="24"/>
          <w:szCs w:val="24"/>
        </w:rPr>
        <w:t>）质疑人承担使用虚假材料或恶意方式质疑的法律责任。</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四、无佐证材料的举报作违约处理。投标单位不得进行不提供相关佐证材料（含无法查实的如宣传册、媒体报道、猜测、推理等）向有关部门的举报，否则作违约处理。同时对其在</w:t>
      </w:r>
      <w:r>
        <w:rPr>
          <w:rFonts w:ascii="Times New Roman" w:hAnsi="Times New Roman" w:cs="Times New Roman"/>
          <w:sz w:val="24"/>
          <w:szCs w:val="24"/>
        </w:rPr>
        <w:t>1</w:t>
      </w:r>
      <w:r>
        <w:rPr>
          <w:rFonts w:hint="eastAsia" w:ascii="Times New Roman" w:hAnsi="Times New Roman" w:cs="宋体"/>
          <w:sz w:val="24"/>
          <w:szCs w:val="24"/>
        </w:rPr>
        <w:t>至</w:t>
      </w:r>
      <w:r>
        <w:rPr>
          <w:rFonts w:ascii="Times New Roman" w:hAnsi="Times New Roman" w:cs="Times New Roman"/>
          <w:sz w:val="24"/>
          <w:szCs w:val="24"/>
        </w:rPr>
        <w:t>3</w:t>
      </w:r>
      <w:r>
        <w:rPr>
          <w:rFonts w:hint="eastAsia" w:ascii="Times New Roman" w:hAnsi="Times New Roman" w:cs="宋体"/>
          <w:sz w:val="24"/>
          <w:szCs w:val="24"/>
        </w:rPr>
        <w:t>年内禁入由招标单位组织的政府采购活动的违约处理。</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五、投诉不成立的作违约处理。投标单位进行质疑后，招标单位回复质疑不成立，投标单位仍进行投诉的，并最终投诉不成立的，作违约处理。招标单位有权对其在</w:t>
      </w:r>
      <w:r>
        <w:rPr>
          <w:rFonts w:ascii="Times New Roman" w:hAnsi="Times New Roman" w:cs="Times New Roman"/>
          <w:sz w:val="24"/>
          <w:szCs w:val="24"/>
        </w:rPr>
        <w:t>1</w:t>
      </w:r>
      <w:r>
        <w:rPr>
          <w:rFonts w:hint="eastAsia" w:ascii="Times New Roman" w:hAnsi="Times New Roman" w:cs="宋体"/>
          <w:sz w:val="24"/>
          <w:szCs w:val="24"/>
        </w:rPr>
        <w:t>至</w:t>
      </w:r>
      <w:r>
        <w:rPr>
          <w:rFonts w:ascii="Times New Roman" w:hAnsi="Times New Roman" w:cs="Times New Roman"/>
          <w:sz w:val="24"/>
          <w:szCs w:val="24"/>
        </w:rPr>
        <w:t>3</w:t>
      </w:r>
      <w:r>
        <w:rPr>
          <w:rFonts w:hint="eastAsia" w:ascii="Times New Roman" w:hAnsi="Times New Roman" w:cs="宋体"/>
          <w:sz w:val="24"/>
          <w:szCs w:val="24"/>
        </w:rPr>
        <w:t>年内禁入由招标单位组织的政府采购活动的违约处理。</w:t>
      </w:r>
    </w:p>
    <w:p>
      <w:pPr>
        <w:pStyle w:val="4"/>
        <w:keepNext w:val="0"/>
        <w:keepLines w:val="0"/>
        <w:spacing w:before="0" w:after="0" w:line="720" w:lineRule="auto"/>
        <w:jc w:val="center"/>
        <w:textAlignment w:val="baseline"/>
        <w:rPr>
          <w:rFonts w:ascii="Times New Roman" w:hAnsi="Times New Roman" w:eastAsia="宋体" w:cs="Times New Roman"/>
          <w:w w:val="80"/>
          <w:sz w:val="48"/>
          <w:szCs w:val="48"/>
        </w:rPr>
      </w:pPr>
      <w:r>
        <w:rPr>
          <w:rFonts w:hint="eastAsia" w:ascii="Times New Roman" w:hAnsi="Times New Roman" w:eastAsia="宋体" w:cs="宋体"/>
          <w:w w:val="80"/>
          <w:sz w:val="48"/>
          <w:szCs w:val="48"/>
        </w:rPr>
        <w:t>第六章</w:t>
      </w:r>
      <w:r>
        <w:rPr>
          <w:rFonts w:ascii="Times New Roman" w:hAnsi="Times New Roman" w:eastAsia="宋体" w:cs="Times New Roman"/>
          <w:w w:val="80"/>
          <w:sz w:val="48"/>
          <w:szCs w:val="48"/>
        </w:rPr>
        <w:t xml:space="preserve"> </w:t>
      </w:r>
      <w:r>
        <w:rPr>
          <w:rFonts w:hint="eastAsia" w:ascii="Times New Roman" w:hAnsi="Times New Roman" w:eastAsia="宋体" w:cs="宋体"/>
          <w:w w:val="80"/>
          <w:sz w:val="48"/>
          <w:szCs w:val="48"/>
        </w:rPr>
        <w:t>响应文件组成及格式</w:t>
      </w:r>
    </w:p>
    <w:p>
      <w:pPr>
        <w:spacing w:line="360" w:lineRule="auto"/>
        <w:ind w:firstLine="482" w:firstLineChars="200"/>
        <w:jc w:val="left"/>
        <w:textAlignment w:val="baseline"/>
        <w:rPr>
          <w:rFonts w:ascii="Times New Roman" w:hAnsi="Times New Roman" w:cs="Times New Roman"/>
          <w:b/>
          <w:bCs/>
          <w:sz w:val="24"/>
          <w:szCs w:val="24"/>
        </w:rPr>
      </w:pPr>
      <w:r>
        <w:rPr>
          <w:rFonts w:hint="eastAsia" w:ascii="Times New Roman" w:hAnsi="Times New Roman" w:cs="宋体"/>
          <w:b/>
          <w:bCs/>
          <w:sz w:val="24"/>
          <w:szCs w:val="24"/>
        </w:rPr>
        <w:t>响应文件由资格审查文件、技术响应文件、商务报价响应文件三部分组成。本次竞争性磋商采用资格后审方式，投标单位须将资格审查文件作为响应文件组成部分，按磋商文件要求装订密封后一起递交。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cs="Times New Roman"/>
          <w:b/>
          <w:bCs/>
          <w:kern w:val="0"/>
          <w:sz w:val="24"/>
          <w:szCs w:val="24"/>
          <w:lang w:val="zh-CN"/>
        </w:rPr>
      </w:pPr>
      <w:r>
        <w:rPr>
          <w:rFonts w:hint="eastAsia" w:ascii="Times New Roman" w:hAnsi="Times New Roman" w:cs="宋体"/>
          <w:b/>
          <w:bCs/>
          <w:kern w:val="0"/>
          <w:sz w:val="24"/>
          <w:szCs w:val="24"/>
          <w:lang w:val="zh-CN"/>
        </w:rPr>
        <w:t>一、资格审查文件（单独密封）：</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w:t>
      </w:r>
      <w:r>
        <w:rPr>
          <w:rFonts w:hint="eastAsia" w:cs="宋体"/>
          <w:sz w:val="24"/>
          <w:szCs w:val="24"/>
        </w:rPr>
        <w:t>投标单位须具有独立法人资格，具有有效的三证合一的营业执照，有能力按本采购文件规定的要求提供专业服务</w:t>
      </w:r>
      <w:r>
        <w:rPr>
          <w:rFonts w:hint="eastAsia" w:ascii="Times New Roman" w:hAnsi="Times New Roman" w:cs="宋体"/>
          <w:sz w:val="24"/>
          <w:szCs w:val="24"/>
        </w:rPr>
        <w:t>（提供有效的营业执照复印件）；</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、投标单位应为</w:t>
      </w:r>
      <w:r>
        <w:rPr>
          <w:rFonts w:ascii="Times New Roman" w:hAnsi="Times New Roman" w:cs="Times New Roman"/>
          <w:sz w:val="24"/>
          <w:szCs w:val="24"/>
        </w:rPr>
        <w:t>2022-2023</w:t>
      </w:r>
      <w:r>
        <w:rPr>
          <w:rFonts w:hint="eastAsia" w:ascii="Times New Roman" w:hAnsi="Times New Roman" w:cs="宋体"/>
          <w:sz w:val="24"/>
          <w:szCs w:val="24"/>
        </w:rPr>
        <w:t>年南通市政府投资建设项目协审服务中介机构入库单位，提供相关证明材料复印件；</w:t>
      </w:r>
    </w:p>
    <w:p>
      <w:pPr>
        <w:spacing w:line="500" w:lineRule="exact"/>
        <w:ind w:firstLine="460" w:firstLineChars="192"/>
        <w:rPr>
          <w:rFonts w:cs="Times New Roman"/>
          <w:sz w:val="24"/>
          <w:szCs w:val="24"/>
        </w:rPr>
      </w:pPr>
      <w:r>
        <w:rPr>
          <w:sz w:val="24"/>
          <w:szCs w:val="24"/>
        </w:rPr>
        <w:t>3</w:t>
      </w:r>
      <w:r>
        <w:rPr>
          <w:rFonts w:hint="eastAsia" w:cs="宋体"/>
          <w:sz w:val="24"/>
          <w:szCs w:val="24"/>
        </w:rPr>
        <w:t>、</w:t>
      </w:r>
      <w:r>
        <w:rPr>
          <w:rFonts w:hint="eastAsia" w:ascii="宋体" w:hAnsi="宋体" w:cs="宋体"/>
          <w:sz w:val="24"/>
          <w:szCs w:val="24"/>
        </w:rPr>
        <w:t>投标单位拟派造价咨询项目组人员明细表（项目组人员不得少于3人，其中项目组负责人必须具有工程师职称和一级注册造价工程师执业资格，其他成员必须具有二级或以上注册造价工程师执业资格。）及相关资质证书（职称证书及造价师注册证书，注册造价师必须注册在投标单位）复印件；</w:t>
      </w:r>
      <w:r>
        <w:rPr>
          <w:rFonts w:ascii="宋体" w:hAnsi="宋体" w:cs="宋体"/>
          <w:sz w:val="24"/>
          <w:szCs w:val="24"/>
        </w:rPr>
        <w:t>2022</w:t>
      </w:r>
      <w:r>
        <w:rPr>
          <w:rFonts w:hint="eastAsia" w:ascii="宋体" w:hAnsi="宋体" w:cs="宋体"/>
          <w:sz w:val="24"/>
          <w:szCs w:val="24"/>
        </w:rPr>
        <w:t>年3月</w:t>
      </w:r>
      <w:r>
        <w:rPr>
          <w:rFonts w:ascii="宋体" w:hAnsi="宋体" w:cs="宋体"/>
          <w:sz w:val="24"/>
          <w:szCs w:val="24"/>
        </w:rPr>
        <w:t>-</w:t>
      </w:r>
      <w:r>
        <w:rPr>
          <w:rFonts w:hint="eastAsia" w:ascii="宋体" w:hAnsi="宋体" w:cs="宋体"/>
          <w:sz w:val="24"/>
          <w:szCs w:val="24"/>
        </w:rPr>
        <w:t>8月投标单位给相关人员连续</w:t>
      </w:r>
      <w:r>
        <w:rPr>
          <w:rFonts w:ascii="宋体" w:hAnsi="宋体" w:cs="宋体"/>
          <w:sz w:val="24"/>
          <w:szCs w:val="24"/>
        </w:rPr>
        <w:t>6</w:t>
      </w:r>
      <w:r>
        <w:rPr>
          <w:rFonts w:hint="eastAsia" w:ascii="宋体" w:hAnsi="宋体" w:cs="宋体"/>
          <w:sz w:val="24"/>
          <w:szCs w:val="24"/>
        </w:rPr>
        <w:t>个月的社保缴纳证明。</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如为法定代表人参加磋商的，必须提供法定代表人身份证明及本人身份证原件的复印件。如为被委托授权人参加磋商的，还须提供法人代表签名或盖章的授权委托书及被委托授权人身份证的这两项原件的复印件（须加盖公章）（格式参见附件）；</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、投标单位符合《中华人民共和国政府采购法》第二十二条规定条件的承诺函（格式参见附件）；</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、投标单位须提供诚信承诺书（格式参见附件）；</w:t>
      </w:r>
    </w:p>
    <w:p>
      <w:pPr>
        <w:pStyle w:val="2"/>
        <w:ind w:left="0" w:leftChars="0" w:firstLine="480"/>
        <w:rPr>
          <w:rFonts w:cs="Times New Roman"/>
          <w:sz w:val="24"/>
          <w:szCs w:val="24"/>
        </w:rPr>
      </w:pPr>
      <w:r>
        <w:rPr>
          <w:sz w:val="24"/>
          <w:szCs w:val="24"/>
        </w:rPr>
        <w:t>7</w:t>
      </w:r>
      <w:r>
        <w:rPr>
          <w:rFonts w:hint="eastAsia" w:cs="宋体"/>
          <w:sz w:val="24"/>
          <w:szCs w:val="24"/>
        </w:rPr>
        <w:t>、磋商文件中要求的其他文件。</w:t>
      </w:r>
    </w:p>
    <w:p>
      <w:pPr>
        <w:spacing w:line="360" w:lineRule="auto"/>
        <w:ind w:firstLine="482" w:firstLineChars="200"/>
        <w:jc w:val="left"/>
        <w:textAlignment w:val="baseline"/>
        <w:rPr>
          <w:rFonts w:ascii="Times New Roman" w:hAnsi="Times New Roman" w:cs="Times New Roman"/>
          <w:b/>
          <w:bCs/>
          <w:sz w:val="24"/>
          <w:szCs w:val="24"/>
        </w:rPr>
      </w:pPr>
      <w:r>
        <w:rPr>
          <w:rFonts w:hint="eastAsia" w:ascii="Times New Roman" w:hAnsi="Times New Roman" w:cs="宋体"/>
          <w:b/>
          <w:bCs/>
          <w:sz w:val="24"/>
          <w:szCs w:val="24"/>
        </w:rPr>
        <w:t>以上材料如为复印件均需加盖投标单位公章。</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二、技术响应文件（单独密封）：</w:t>
      </w:r>
    </w:p>
    <w:p>
      <w:pPr>
        <w:spacing w:line="360" w:lineRule="auto"/>
        <w:ind w:firstLine="480" w:firstLineChars="200"/>
        <w:jc w:val="left"/>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、磋商文件中评分标准所涉及的事项需提供的所有资料；</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、磋商文件中未涉及的事项，投标单位认为需要提交的其他资料。</w:t>
      </w:r>
    </w:p>
    <w:p>
      <w:pPr>
        <w:spacing w:line="360" w:lineRule="auto"/>
        <w:ind w:firstLine="482" w:firstLineChars="200"/>
        <w:jc w:val="left"/>
        <w:textAlignment w:val="baseline"/>
        <w:rPr>
          <w:rFonts w:ascii="Times New Roman" w:hAnsi="Times New Roman" w:cs="Times New Roman"/>
          <w:b/>
          <w:bCs/>
          <w:sz w:val="24"/>
          <w:szCs w:val="24"/>
        </w:rPr>
      </w:pPr>
      <w:r>
        <w:rPr>
          <w:rFonts w:hint="eastAsia" w:ascii="Times New Roman" w:hAnsi="Times New Roman" w:cs="宋体"/>
          <w:b/>
          <w:bCs/>
          <w:sz w:val="24"/>
          <w:szCs w:val="24"/>
        </w:rPr>
        <w:t>以上材料如为复印件均需加盖投标单位公章。</w:t>
      </w:r>
    </w:p>
    <w:p>
      <w:pPr>
        <w:spacing w:line="360" w:lineRule="auto"/>
        <w:ind w:firstLine="482" w:firstLineChars="200"/>
        <w:jc w:val="left"/>
        <w:textAlignment w:val="baseline"/>
        <w:rPr>
          <w:rFonts w:ascii="Times New Roman" w:hAnsi="Times New Roman" w:cs="Times New Roman"/>
          <w:b/>
          <w:bCs/>
          <w:sz w:val="24"/>
          <w:szCs w:val="24"/>
        </w:rPr>
      </w:pPr>
      <w:r>
        <w:rPr>
          <w:rFonts w:hint="eastAsia" w:ascii="Times New Roman" w:hAnsi="Times New Roman" w:cs="宋体"/>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单位自行承担。</w:t>
      </w:r>
    </w:p>
    <w:p>
      <w:pPr>
        <w:spacing w:line="360" w:lineRule="auto"/>
        <w:ind w:firstLine="482" w:firstLineChars="200"/>
        <w:jc w:val="left"/>
        <w:textAlignment w:val="baseline"/>
        <w:rPr>
          <w:rFonts w:ascii="Times New Roman" w:hAnsi="Times New Roman" w:cs="Times New Roman"/>
          <w:b/>
          <w:bCs/>
          <w:sz w:val="24"/>
          <w:szCs w:val="24"/>
        </w:rPr>
      </w:pPr>
      <w:r>
        <w:rPr>
          <w:rFonts w:hint="eastAsia" w:ascii="Times New Roman" w:hAnsi="Times New Roman" w:cs="宋体"/>
          <w:b/>
          <w:bCs/>
          <w:sz w:val="24"/>
          <w:szCs w:val="24"/>
        </w:rPr>
        <w:t>三、报价响应文件（单独密封）</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、竞争性磋商响应函（格式参见附件）；</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、磋商响应报价表（格式参见附件）。</w:t>
      </w:r>
    </w:p>
    <w:p>
      <w:pPr>
        <w:widowControl/>
        <w:jc w:val="left"/>
        <w:rPr>
          <w:rFonts w:ascii="Times New Roman" w:hAnsi="Times New Roman" w:cs="Times New Roman"/>
          <w:b/>
          <w:bCs/>
          <w:sz w:val="24"/>
          <w:szCs w:val="24"/>
        </w:rPr>
      </w:pPr>
      <w:r>
        <w:rPr>
          <w:rFonts w:ascii="Times New Roman" w:hAnsi="Times New Roman" w:cs="Times New Roman"/>
          <w:b/>
          <w:bCs/>
          <w:sz w:val="24"/>
          <w:szCs w:val="24"/>
        </w:rPr>
        <w:br w:type="page"/>
      </w:r>
    </w:p>
    <w:p>
      <w:pPr>
        <w:spacing w:line="360" w:lineRule="auto"/>
        <w:jc w:val="left"/>
        <w:textAlignment w:val="baseline"/>
        <w:rPr>
          <w:rFonts w:ascii="Times New Roman" w:hAnsi="Times New Roman" w:cs="Times New Roman"/>
          <w:b/>
          <w:bCs/>
          <w:sz w:val="24"/>
          <w:szCs w:val="24"/>
        </w:rPr>
      </w:pPr>
      <w:r>
        <w:rPr>
          <w:rFonts w:hint="eastAsia" w:ascii="Times New Roman" w:hAnsi="Times New Roman" w:cs="宋体"/>
          <w:b/>
          <w:bCs/>
          <w:sz w:val="24"/>
          <w:szCs w:val="24"/>
        </w:rPr>
        <w:t>附件</w:t>
      </w:r>
      <w:r>
        <w:rPr>
          <w:rFonts w:ascii="Times New Roman" w:hAnsi="Times New Roman" w:cs="Times New Roman"/>
          <w:b/>
          <w:bCs/>
          <w:sz w:val="24"/>
          <w:szCs w:val="24"/>
        </w:rPr>
        <w:t>:</w:t>
      </w:r>
    </w:p>
    <w:p>
      <w:pPr>
        <w:spacing w:line="360" w:lineRule="auto"/>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1</w:t>
      </w:r>
      <w:r>
        <w:rPr>
          <w:rFonts w:hint="eastAsia" w:ascii="Times New Roman" w:hAnsi="Times New Roman" w:cs="宋体"/>
          <w:b/>
          <w:bCs/>
          <w:sz w:val="24"/>
          <w:szCs w:val="24"/>
        </w:rPr>
        <w:t>、法定代表人身份证明</w:t>
      </w:r>
    </w:p>
    <w:p>
      <w:pPr>
        <w:spacing w:line="360" w:lineRule="auto"/>
        <w:jc w:val="center"/>
        <w:textAlignment w:val="baseline"/>
        <w:rPr>
          <w:rFonts w:ascii="Times New Roman" w:hAnsi="Times New Roman" w:cs="Times New Roman"/>
          <w:sz w:val="24"/>
          <w:szCs w:val="24"/>
        </w:rPr>
      </w:pPr>
      <w:r>
        <w:rPr>
          <w:rFonts w:hint="eastAsia" w:ascii="Times New Roman" w:hAnsi="Times New Roman" w:cs="宋体"/>
          <w:sz w:val="24"/>
          <w:szCs w:val="24"/>
        </w:rPr>
        <w:t>（法定代表人参加投标，须出示此证明）</w:t>
      </w:r>
    </w:p>
    <w:p>
      <w:pPr>
        <w:spacing w:line="360" w:lineRule="auto"/>
        <w:jc w:val="center"/>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u w:val="single"/>
        </w:rPr>
        <w:t>南通市第三人民医院</w:t>
      </w:r>
      <w:r>
        <w:rPr>
          <w:rFonts w:hint="eastAsia" w:ascii="Times New Roman" w:hAnsi="Times New Roman" w:cs="宋体"/>
          <w:sz w:val="24"/>
          <w:szCs w:val="24"/>
        </w:rPr>
        <w:t>：</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我公司法定代表人</w:t>
      </w:r>
      <w:r>
        <w:rPr>
          <w:rFonts w:hint="eastAsia" w:ascii="Times New Roman" w:hAnsi="Times New Roman" w:cs="宋体"/>
          <w:sz w:val="24"/>
          <w:szCs w:val="24"/>
          <w:u w:val="single"/>
        </w:rPr>
        <w:t>　　　</w:t>
      </w:r>
      <w:r>
        <w:rPr>
          <w:rFonts w:hint="eastAsia" w:ascii="Times New Roman" w:hAnsi="Times New Roman" w:cs="宋体"/>
          <w:sz w:val="24"/>
          <w:szCs w:val="24"/>
        </w:rPr>
        <w:t>参加贵单位组织的</w:t>
      </w:r>
      <w:r>
        <w:rPr>
          <w:rFonts w:hint="eastAsia" w:ascii="Times New Roman" w:hAnsi="Times New Roman" w:cs="宋体"/>
          <w:sz w:val="24"/>
          <w:szCs w:val="24"/>
          <w:u w:val="single"/>
        </w:rPr>
        <w:t>南通市第三人民医院招标控制价编制及审核、工程结算审核工作咨询服务项目</w:t>
      </w:r>
      <w:r>
        <w:rPr>
          <w:rFonts w:hint="eastAsia" w:ascii="Times New Roman" w:hAnsi="Times New Roman"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附：法定代表人情况：</w:t>
      </w:r>
    </w:p>
    <w:p>
      <w:pPr>
        <w:spacing w:line="360" w:lineRule="auto"/>
        <w:textAlignment w:val="baseline"/>
        <w:rPr>
          <w:rFonts w:ascii="Times New Roman" w:hAnsi="Times New Roman" w:cs="Times New Roman"/>
          <w:sz w:val="24"/>
          <w:szCs w:val="24"/>
          <w:u w:val="single"/>
        </w:rPr>
      </w:pPr>
      <w:r>
        <w:rPr>
          <w:rFonts w:hint="eastAsia" w:ascii="Times New Roman" w:hAnsi="Times New Roman" w:cs="宋体"/>
          <w:sz w:val="24"/>
          <w:szCs w:val="24"/>
        </w:rPr>
        <w:t>姓名：性别：年龄：职务：</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身份证号码：</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手机：传真：</w:t>
      </w:r>
    </w:p>
    <w:p>
      <w:pPr>
        <w:spacing w:line="360" w:lineRule="auto"/>
        <w:textAlignment w:val="baseline"/>
        <w:rPr>
          <w:rFonts w:ascii="Times New Roman" w:hAnsi="Times New Roman" w:cs="Times New Roman"/>
          <w:sz w:val="24"/>
          <w:szCs w:val="24"/>
        </w:rPr>
      </w:pPr>
      <w:r>
        <w:rPr>
          <w:rFonts w:ascii="Times New Roman" w:hAnsi="Times New Roman" w:cs="Times New Roman"/>
          <w:sz w:val="24"/>
          <w:szCs w:val="24"/>
        </w:rPr>
        <w:t> </w:t>
      </w:r>
    </w:p>
    <w:p>
      <w:pPr>
        <w:spacing w:line="360" w:lineRule="auto"/>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单位名称（公章）</w:t>
      </w:r>
    </w:p>
    <w:p>
      <w:pPr>
        <w:spacing w:line="360" w:lineRule="auto"/>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法定代表人（签字或盖章）</w:t>
      </w:r>
    </w:p>
    <w:p>
      <w:pPr>
        <w:spacing w:line="360" w:lineRule="auto"/>
        <w:ind w:firstLine="3120" w:firstLineChars="1300"/>
        <w:jc w:val="right"/>
        <w:textAlignment w:val="baseline"/>
        <w:rPr>
          <w:rFonts w:ascii="Times New Roman" w:hAnsi="Times New Roman" w:cs="Times New Roman"/>
          <w:sz w:val="24"/>
          <w:szCs w:val="24"/>
        </w:rPr>
      </w:pPr>
      <w:r>
        <w:rPr>
          <w:rFonts w:hint="eastAsia" w:ascii="Times New Roman" w:hAnsi="Times New Roman" w:cs="宋体"/>
          <w:sz w:val="24"/>
          <w:szCs w:val="24"/>
        </w:rPr>
        <w:t>年</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月</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日</w:t>
      </w:r>
    </w:p>
    <w:p>
      <w:pPr>
        <w:spacing w:line="360" w:lineRule="auto"/>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法定代表人身份证复印件</w:t>
      </w:r>
    </w:p>
    <w:p>
      <w:pPr>
        <w:spacing w:line="360" w:lineRule="auto"/>
        <w:textAlignment w:val="baseline"/>
        <w:rPr>
          <w:rFonts w:ascii="Times New Roman" w:hAnsi="Times New Roman" w:cs="Times New Roman"/>
          <w:sz w:val="24"/>
          <w:szCs w:val="24"/>
        </w:rPr>
      </w:pPr>
    </w:p>
    <w:p>
      <w:pPr>
        <w:spacing w:line="360" w:lineRule="auto"/>
        <w:ind w:firstLine="2280" w:firstLineChars="950"/>
        <w:textAlignment w:val="baseline"/>
        <w:rPr>
          <w:rFonts w:ascii="Times New Roman" w:hAnsi="Times New Roman" w:cs="Times New Roman"/>
          <w:sz w:val="24"/>
          <w:szCs w:val="24"/>
        </w:rPr>
      </w:pPr>
    </w:p>
    <w:p>
      <w:pPr>
        <w:spacing w:line="360" w:lineRule="auto"/>
        <w:ind w:firstLine="2280" w:firstLineChars="950"/>
        <w:textAlignment w:val="baseline"/>
        <w:rPr>
          <w:rFonts w:ascii="Times New Roman" w:hAnsi="Times New Roman" w:cs="Times New Roman"/>
          <w:sz w:val="24"/>
          <w:szCs w:val="24"/>
        </w:rPr>
      </w:pPr>
      <w:r>
        <w:rPr>
          <w:rFonts w:hint="eastAsia" w:ascii="Times New Roman" w:hAnsi="Times New Roman" w:cs="宋体"/>
          <w:sz w:val="24"/>
          <w:szCs w:val="24"/>
        </w:rPr>
        <w:t>（粘贴此处）</w:t>
      </w:r>
    </w:p>
    <w:p>
      <w:pPr>
        <w:spacing w:line="360" w:lineRule="auto"/>
        <w:ind w:firstLine="482" w:firstLineChars="200"/>
        <w:textAlignment w:val="baseline"/>
        <w:rPr>
          <w:rFonts w:ascii="Times New Roman" w:hAnsi="Times New Roman" w:cs="Times New Roman"/>
          <w:b/>
          <w:bCs/>
          <w:sz w:val="24"/>
          <w:szCs w:val="24"/>
        </w:rPr>
      </w:pPr>
    </w:p>
    <w:p>
      <w:pPr>
        <w:spacing w:line="360" w:lineRule="auto"/>
        <w:ind w:firstLine="482" w:firstLineChars="200"/>
        <w:textAlignment w:val="baseline"/>
        <w:rPr>
          <w:rFonts w:ascii="Times New Roman" w:hAnsi="Times New Roman" w:cs="Times New Roman"/>
          <w:b/>
          <w:bCs/>
          <w:sz w:val="24"/>
          <w:szCs w:val="24"/>
        </w:rPr>
      </w:pPr>
    </w:p>
    <w:p>
      <w:pPr>
        <w:spacing w:line="360" w:lineRule="auto"/>
        <w:ind w:firstLine="482" w:firstLineChars="200"/>
        <w:textAlignment w:val="baseline"/>
        <w:rPr>
          <w:rFonts w:ascii="Times New Roman" w:hAnsi="Times New Roman" w:cs="Times New Roman"/>
          <w:b/>
          <w:bCs/>
          <w:sz w:val="24"/>
          <w:szCs w:val="24"/>
        </w:rPr>
      </w:pPr>
    </w:p>
    <w:p>
      <w:pPr>
        <w:spacing w:line="360" w:lineRule="auto"/>
        <w:ind w:firstLine="482" w:firstLineChars="200"/>
        <w:textAlignment w:val="baseline"/>
        <w:rPr>
          <w:rFonts w:ascii="Times New Roman" w:hAnsi="Times New Roman" w:cs="Times New Roman"/>
          <w:b/>
          <w:bCs/>
          <w:sz w:val="24"/>
          <w:szCs w:val="24"/>
        </w:rPr>
      </w:pP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注</w:t>
      </w:r>
      <w:r>
        <w:rPr>
          <w:rFonts w:ascii="Times New Roman" w:hAnsi="Times New Roman" w:cs="Times New Roman"/>
          <w:b/>
          <w:bCs/>
          <w:sz w:val="24"/>
          <w:szCs w:val="24"/>
        </w:rPr>
        <w:t>:</w:t>
      </w:r>
      <w:r>
        <w:rPr>
          <w:rFonts w:hint="eastAsia" w:ascii="Times New Roman" w:hAnsi="Times New Roman" w:cs="宋体"/>
          <w:b/>
          <w:bCs/>
          <w:sz w:val="24"/>
          <w:szCs w:val="24"/>
        </w:rPr>
        <w:t>参加磋商活动时法定代表人将身份证原件带至开标现场备查。</w:t>
      </w:r>
    </w:p>
    <w:p>
      <w:pPr>
        <w:spacing w:line="360" w:lineRule="auto"/>
        <w:jc w:val="center"/>
        <w:textAlignment w:val="baseline"/>
        <w:rPr>
          <w:rFonts w:ascii="Times New Roman" w:hAnsi="Times New Roman" w:cs="Times New Roman"/>
          <w:sz w:val="20"/>
          <w:szCs w:val="20"/>
        </w:rPr>
      </w:pPr>
      <w:r>
        <w:rPr>
          <w:rFonts w:ascii="Times New Roman" w:hAnsi="Times New Roman" w:cs="Times New Roman"/>
          <w:b/>
          <w:bCs/>
          <w:sz w:val="24"/>
          <w:szCs w:val="24"/>
        </w:rPr>
        <w:t>2</w:t>
      </w:r>
      <w:r>
        <w:rPr>
          <w:rFonts w:hint="eastAsia" w:ascii="Times New Roman" w:hAnsi="Times New Roman" w:cs="宋体"/>
          <w:b/>
          <w:bCs/>
          <w:sz w:val="24"/>
          <w:szCs w:val="24"/>
        </w:rPr>
        <w:t>、授权委托书</w:t>
      </w:r>
    </w:p>
    <w:p>
      <w:pPr>
        <w:spacing w:line="360" w:lineRule="auto"/>
        <w:jc w:val="center"/>
        <w:textAlignment w:val="baseline"/>
        <w:rPr>
          <w:rFonts w:ascii="Times New Roman" w:hAnsi="Times New Roman" w:cs="Times New Roman"/>
          <w:sz w:val="24"/>
          <w:szCs w:val="24"/>
        </w:rPr>
      </w:pPr>
      <w:r>
        <w:rPr>
          <w:rFonts w:hint="eastAsia" w:ascii="Times New Roman" w:hAnsi="Times New Roman" w:cs="宋体"/>
          <w:sz w:val="24"/>
          <w:szCs w:val="24"/>
        </w:rPr>
        <w:t>（委托代理人参加投标，须出示此证明）</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u w:val="single"/>
        </w:rPr>
        <w:t>南通市第三人民医院</w:t>
      </w:r>
      <w:r>
        <w:rPr>
          <w:rFonts w:hint="eastAsia" w:ascii="Times New Roman" w:hAnsi="Times New Roman" w:cs="宋体"/>
          <w:sz w:val="24"/>
          <w:szCs w:val="24"/>
        </w:rPr>
        <w:t>：</w:t>
      </w:r>
    </w:p>
    <w:p>
      <w:pPr>
        <w:spacing w:line="360" w:lineRule="auto"/>
        <w:ind w:left="1"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兹授权</w:t>
      </w:r>
      <w:r>
        <w:rPr>
          <w:rFonts w:hint="eastAsia" w:ascii="Times New Roman" w:hAnsi="Times New Roman" w:cs="宋体"/>
          <w:sz w:val="24"/>
          <w:szCs w:val="24"/>
          <w:u w:val="single"/>
        </w:rPr>
        <w:t>（</w:t>
      </w:r>
      <w:r>
        <w:rPr>
          <w:rFonts w:hint="eastAsia" w:ascii="Times New Roman" w:hAnsi="Times New Roman" w:cs="宋体"/>
          <w:sz w:val="24"/>
          <w:szCs w:val="24"/>
        </w:rPr>
        <w:t>被授权人的姓名）代表我公司参加</w:t>
      </w:r>
      <w:r>
        <w:rPr>
          <w:rFonts w:hint="eastAsia" w:ascii="Times New Roman" w:hAnsi="Times New Roman" w:cs="宋体"/>
          <w:sz w:val="24"/>
          <w:szCs w:val="24"/>
          <w:u w:val="single"/>
        </w:rPr>
        <w:t>南通市第三人民医院招标控制价编制及审核、工程结算审核工作咨询服务项目</w:t>
      </w:r>
      <w:r>
        <w:rPr>
          <w:rFonts w:hint="eastAsia" w:ascii="Times New Roman" w:hAnsi="Times New Roman"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被授权人无转委托权。特此委托。</w:t>
      </w:r>
    </w:p>
    <w:p>
      <w:pPr>
        <w:spacing w:line="360" w:lineRule="auto"/>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附：被授权人情况：</w:t>
      </w:r>
    </w:p>
    <w:p>
      <w:pPr>
        <w:spacing w:line="360" w:lineRule="auto"/>
        <w:textAlignment w:val="baseline"/>
        <w:rPr>
          <w:rFonts w:ascii="Times New Roman" w:hAnsi="Times New Roman" w:cs="Times New Roman"/>
          <w:sz w:val="24"/>
          <w:szCs w:val="24"/>
          <w:u w:val="single"/>
        </w:rPr>
      </w:pPr>
      <w:r>
        <w:rPr>
          <w:rFonts w:hint="eastAsia" w:ascii="Times New Roman" w:hAnsi="Times New Roman" w:cs="宋体"/>
          <w:sz w:val="24"/>
          <w:szCs w:val="24"/>
        </w:rPr>
        <w:t>姓名：性别：年龄：职务：</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身份证号码：</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手机：传真：</w:t>
      </w:r>
    </w:p>
    <w:p>
      <w:pPr>
        <w:spacing w:line="360" w:lineRule="auto"/>
        <w:textAlignment w:val="baseline"/>
        <w:rPr>
          <w:rFonts w:ascii="Times New Roman" w:hAnsi="Times New Roman" w:cs="Times New Roman"/>
          <w:sz w:val="24"/>
          <w:szCs w:val="24"/>
        </w:rPr>
      </w:pPr>
      <w:r>
        <w:rPr>
          <w:rFonts w:ascii="Times New Roman" w:hAnsi="Times New Roman" w:cs="Times New Roman"/>
          <w:sz w:val="24"/>
          <w:szCs w:val="24"/>
        </w:rPr>
        <w:t> </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单位名称（公章）</w:t>
      </w:r>
    </w:p>
    <w:p>
      <w:pPr>
        <w:pStyle w:val="2"/>
        <w:rPr>
          <w:rFonts w:cs="Times New Roman"/>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法定代表人（签字或盖章）</w:t>
      </w:r>
    </w:p>
    <w:p>
      <w:pPr>
        <w:spacing w:line="360" w:lineRule="auto"/>
        <w:ind w:firstLine="3480" w:firstLineChars="1450"/>
        <w:jc w:val="right"/>
        <w:textAlignment w:val="baseline"/>
        <w:rPr>
          <w:rFonts w:ascii="Times New Roman" w:hAnsi="Times New Roman" w:cs="Times New Roman"/>
          <w:sz w:val="24"/>
          <w:szCs w:val="24"/>
        </w:rPr>
      </w:pPr>
      <w:r>
        <w:rPr>
          <w:rFonts w:hint="eastAsia" w:ascii="Times New Roman" w:hAnsi="Times New Roman" w:cs="宋体"/>
          <w:sz w:val="24"/>
          <w:szCs w:val="24"/>
        </w:rPr>
        <w:t>年</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月</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日</w:t>
      </w:r>
    </w:p>
    <w:p>
      <w:pPr>
        <w:spacing w:line="360" w:lineRule="auto"/>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法定代表人身份证复印件</w:t>
      </w:r>
    </w:p>
    <w:p>
      <w:pPr>
        <w:spacing w:line="360" w:lineRule="auto"/>
        <w:textAlignment w:val="baseline"/>
        <w:rPr>
          <w:rFonts w:ascii="Times New Roman" w:hAnsi="Times New Roman" w:cs="Times New Roman"/>
          <w:sz w:val="24"/>
          <w:szCs w:val="24"/>
        </w:rPr>
      </w:pPr>
    </w:p>
    <w:p>
      <w:pPr>
        <w:spacing w:line="360" w:lineRule="auto"/>
        <w:ind w:firstLine="3960" w:firstLineChars="1650"/>
        <w:textAlignment w:val="baseline"/>
        <w:rPr>
          <w:rFonts w:ascii="Times New Roman" w:hAnsi="Times New Roman" w:cs="Times New Roman"/>
          <w:sz w:val="24"/>
          <w:szCs w:val="24"/>
        </w:rPr>
      </w:pPr>
      <w:r>
        <w:rPr>
          <w:rFonts w:hint="eastAsia" w:ascii="Times New Roman" w:hAnsi="Times New Roman" w:cs="宋体"/>
          <w:sz w:val="24"/>
          <w:szCs w:val="24"/>
        </w:rPr>
        <w:t>（粘贴此处）</w:t>
      </w:r>
    </w:p>
    <w:p>
      <w:pPr>
        <w:pStyle w:val="2"/>
        <w:rPr>
          <w:rFonts w:cs="Times New Roman"/>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被授权人身份证复印件</w:t>
      </w:r>
    </w:p>
    <w:p>
      <w:pPr>
        <w:spacing w:line="360" w:lineRule="auto"/>
        <w:jc w:val="center"/>
        <w:textAlignment w:val="baseline"/>
        <w:rPr>
          <w:rFonts w:ascii="Times New Roman" w:hAnsi="Times New Roman" w:cs="Times New Roman"/>
          <w:sz w:val="24"/>
          <w:szCs w:val="24"/>
        </w:rPr>
      </w:pPr>
    </w:p>
    <w:p>
      <w:pPr>
        <w:spacing w:line="360" w:lineRule="auto"/>
        <w:jc w:val="center"/>
        <w:textAlignment w:val="baseline"/>
        <w:rPr>
          <w:rFonts w:ascii="Times New Roman" w:hAnsi="Times New Roman" w:cs="Times New Roman"/>
          <w:b/>
          <w:bCs/>
          <w:sz w:val="24"/>
          <w:szCs w:val="24"/>
        </w:rPr>
      </w:pPr>
      <w:r>
        <w:rPr>
          <w:rFonts w:hint="eastAsia" w:ascii="Times New Roman" w:hAnsi="Times New Roman" w:cs="宋体"/>
          <w:sz w:val="24"/>
          <w:szCs w:val="24"/>
        </w:rPr>
        <w:t>（粘贴此处）</w:t>
      </w:r>
    </w:p>
    <w:p>
      <w:pPr>
        <w:spacing w:line="360" w:lineRule="auto"/>
        <w:textAlignment w:val="baseline"/>
        <w:rPr>
          <w:rFonts w:ascii="Times New Roman" w:hAnsi="Times New Roman" w:cs="Times New Roman"/>
          <w:b/>
          <w:bCs/>
          <w:sz w:val="24"/>
          <w:szCs w:val="24"/>
        </w:rPr>
      </w:pPr>
    </w:p>
    <w:p>
      <w:pPr>
        <w:spacing w:line="360" w:lineRule="auto"/>
        <w:textAlignment w:val="baseline"/>
        <w:rPr>
          <w:rFonts w:ascii="Times New Roman" w:hAnsi="Times New Roman" w:cs="Times New Roman"/>
          <w:b/>
          <w:bCs/>
          <w:sz w:val="24"/>
          <w:szCs w:val="24"/>
        </w:rPr>
      </w:pPr>
    </w:p>
    <w:p>
      <w:pPr>
        <w:pStyle w:val="2"/>
        <w:rPr>
          <w:rFonts w:cs="Times New Roman"/>
        </w:rPr>
      </w:pPr>
    </w:p>
    <w:p>
      <w:pPr>
        <w:spacing w:line="360" w:lineRule="auto"/>
        <w:textAlignment w:val="baseline"/>
        <w:rPr>
          <w:rFonts w:ascii="Times New Roman" w:hAnsi="Times New Roman" w:cs="Times New Roman"/>
          <w:b/>
          <w:bCs/>
          <w:sz w:val="24"/>
          <w:szCs w:val="24"/>
        </w:rPr>
      </w:pPr>
      <w:r>
        <w:rPr>
          <w:rFonts w:hint="eastAsia" w:ascii="Times New Roman" w:hAnsi="Times New Roman" w:cs="宋体"/>
          <w:b/>
          <w:bCs/>
          <w:sz w:val="24"/>
          <w:szCs w:val="24"/>
        </w:rPr>
        <w:t>注</w:t>
      </w:r>
      <w:r>
        <w:rPr>
          <w:rFonts w:ascii="Times New Roman" w:hAnsi="Times New Roman" w:cs="Times New Roman"/>
          <w:b/>
          <w:bCs/>
          <w:sz w:val="24"/>
          <w:szCs w:val="24"/>
        </w:rPr>
        <w:t>:</w:t>
      </w:r>
      <w:r>
        <w:rPr>
          <w:rFonts w:hint="eastAsia" w:ascii="Times New Roman" w:hAnsi="Times New Roman" w:cs="宋体"/>
          <w:b/>
          <w:bCs/>
          <w:sz w:val="24"/>
          <w:szCs w:val="24"/>
        </w:rPr>
        <w:t>参加磋商活动时被授权人将身份证原件带至开标现场备查。</w:t>
      </w:r>
    </w:p>
    <w:p>
      <w:pPr>
        <w:spacing w:line="360" w:lineRule="auto"/>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3</w:t>
      </w:r>
      <w:r>
        <w:rPr>
          <w:rFonts w:hint="eastAsia" w:ascii="Times New Roman" w:hAnsi="Times New Roman" w:cs="宋体"/>
          <w:b/>
          <w:bCs/>
          <w:sz w:val="24"/>
          <w:szCs w:val="24"/>
        </w:rPr>
        <w:t>、投标单位符合《中华人民共和国政府采购法》第二十二条规定条件的承诺函</w:t>
      </w:r>
    </w:p>
    <w:p>
      <w:pPr>
        <w:snapToGrid w:val="0"/>
        <w:spacing w:line="360" w:lineRule="auto"/>
        <w:rPr>
          <w:rFonts w:ascii="Times New Roman" w:hAnsi="Times New Roman" w:cs="Times New Roman"/>
          <w:sz w:val="24"/>
          <w:szCs w:val="24"/>
          <w:u w:val="single"/>
        </w:rPr>
      </w:pPr>
    </w:p>
    <w:p>
      <w:pPr>
        <w:snapToGrid w:val="0"/>
        <w:spacing w:line="360" w:lineRule="auto"/>
        <w:rPr>
          <w:rFonts w:ascii="Times New Roman" w:hAnsi="Times New Roman" w:cs="Times New Roman"/>
          <w:sz w:val="24"/>
          <w:szCs w:val="24"/>
        </w:rPr>
      </w:pPr>
      <w:r>
        <w:rPr>
          <w:rFonts w:hint="eastAsia" w:ascii="Times New Roman" w:hAnsi="Times New Roman" w:cs="宋体"/>
          <w:sz w:val="24"/>
          <w:szCs w:val="24"/>
          <w:u w:val="single"/>
        </w:rPr>
        <w:t>南通市第三人民医院</w:t>
      </w:r>
      <w:r>
        <w:rPr>
          <w:rFonts w:hint="eastAsia" w:ascii="Times New Roman" w:hAnsi="Times New Roman" w:cs="宋体"/>
          <w:sz w:val="24"/>
          <w:szCs w:val="24"/>
        </w:rPr>
        <w:t>：</w:t>
      </w:r>
    </w:p>
    <w:p>
      <w:pPr>
        <w:spacing w:line="360" w:lineRule="auto"/>
        <w:ind w:firstLine="480" w:firstLineChars="200"/>
        <w:rPr>
          <w:rFonts w:ascii="Times New Roman" w:hAnsi="Times New Roman" w:cs="Times New Roman"/>
          <w:b/>
          <w:bCs/>
          <w:sz w:val="24"/>
          <w:szCs w:val="24"/>
        </w:rPr>
      </w:pPr>
      <w:r>
        <w:rPr>
          <w:rFonts w:hint="eastAsia" w:ascii="Times New Roman" w:hAnsi="Times New Roman" w:cs="宋体"/>
          <w:sz w:val="24"/>
          <w:szCs w:val="24"/>
        </w:rPr>
        <w:t>我单位参加</w:t>
      </w:r>
      <w:r>
        <w:rPr>
          <w:rFonts w:hint="eastAsia" w:ascii="Times New Roman" w:hAnsi="Times New Roman" w:cs="宋体"/>
          <w:sz w:val="24"/>
          <w:szCs w:val="24"/>
          <w:u w:val="single"/>
        </w:rPr>
        <w:t>南通</w:t>
      </w:r>
      <w:r>
        <w:rPr>
          <w:rFonts w:hint="eastAsia" w:ascii="Times New Roman" w:hAnsi="Times New Roman" w:cs="Times New Roman"/>
          <w:sz w:val="24"/>
          <w:szCs w:val="24"/>
          <w:u w:val="single"/>
        </w:rPr>
        <w:t>市第三人民医院招标控制价编制及审核、工程结算审核工作咨询服务项目</w:t>
      </w:r>
      <w:r>
        <w:rPr>
          <w:rFonts w:hint="eastAsia" w:ascii="Times New Roman" w:hAnsi="Times New Roman" w:cs="宋体"/>
          <w:sz w:val="24"/>
          <w:szCs w:val="24"/>
        </w:rPr>
        <w:t>（项目名称）。针对《中华人民共和国政府采购法》第二十二条规定做出如下声明：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w:t>
      </w:r>
      <w:r>
        <w:rPr>
          <w:rFonts w:hint="eastAsia" w:ascii="Times New Roman" w:hAnsi="Times New Roman" w:cs="宋体"/>
          <w:sz w:val="24"/>
          <w:szCs w:val="24"/>
        </w:rPr>
        <w:t>我单位具有独立承担民事责任的能力；</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w:t>
      </w:r>
      <w:r>
        <w:rPr>
          <w:rFonts w:hint="eastAsia" w:ascii="Times New Roman" w:hAnsi="Times New Roman" w:cs="宋体"/>
          <w:sz w:val="24"/>
          <w:szCs w:val="24"/>
        </w:rPr>
        <w:t>我单位具有良好的商业信誉和健全的财务会计制度；</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w:t>
      </w:r>
      <w:r>
        <w:rPr>
          <w:rFonts w:hint="eastAsia" w:ascii="Times New Roman" w:hAnsi="Times New Roman" w:cs="宋体"/>
          <w:sz w:val="24"/>
          <w:szCs w:val="24"/>
        </w:rPr>
        <w:t>我单位具有履行合同所必需的设备和专业技术能力；</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w:t>
      </w:r>
      <w:r>
        <w:rPr>
          <w:rFonts w:hint="eastAsia" w:ascii="Times New Roman" w:hAnsi="Times New Roman" w:cs="宋体"/>
          <w:sz w:val="24"/>
          <w:szCs w:val="24"/>
        </w:rPr>
        <w:t>我单位有依法缴纳税收和社会保障资金的良好记录；</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w:t>
      </w:r>
      <w:r>
        <w:rPr>
          <w:rFonts w:hint="eastAsia" w:ascii="Times New Roman" w:hAnsi="Times New Roman" w:cs="宋体"/>
          <w:sz w:val="24"/>
          <w:szCs w:val="24"/>
        </w:rPr>
        <w:t>我单位参加政府采购活动前三年内，在经营活动中没有重大违法记录；（</w:t>
      </w:r>
      <w:r>
        <w:rPr>
          <w:rFonts w:ascii="Times New Roman" w:hAnsi="Times New Roman" w:cs="Times New Roman"/>
          <w:sz w:val="24"/>
          <w:szCs w:val="24"/>
        </w:rPr>
        <w:t>1.</w:t>
      </w:r>
      <w:r>
        <w:rPr>
          <w:rFonts w:hint="eastAsia" w:ascii="Times New Roman" w:hAnsi="Times New Roman" w:cs="宋体"/>
          <w:sz w:val="24"/>
          <w:szCs w:val="24"/>
        </w:rPr>
        <w:t>投标单位在参加政府采购活动前三年内因违法经营被禁止在一定期限内参加政府采购活动，期限届满的，可以参加政府采购活动。</w:t>
      </w:r>
      <w:r>
        <w:rPr>
          <w:rFonts w:ascii="Times New Roman" w:hAnsi="Times New Roman" w:cs="Times New Roman"/>
          <w:sz w:val="24"/>
          <w:szCs w:val="24"/>
        </w:rPr>
        <w:t>2.</w:t>
      </w:r>
      <w:r>
        <w:rPr>
          <w:rFonts w:hint="eastAsia" w:ascii="Times New Roman" w:hAnsi="Times New Roman" w:cs="宋体"/>
          <w:sz w:val="24"/>
          <w:szCs w:val="24"/>
        </w:rPr>
        <w:t>《中华人民共和国政府采购法实施条例》第十九条第一款规定的“较大数额罚款”认定为</w:t>
      </w:r>
      <w:r>
        <w:rPr>
          <w:rFonts w:ascii="Times New Roman" w:hAnsi="Times New Roman" w:cs="Times New Roman"/>
          <w:sz w:val="24"/>
          <w:szCs w:val="24"/>
        </w:rPr>
        <w:t>200</w:t>
      </w:r>
      <w:r>
        <w:rPr>
          <w:rFonts w:hint="eastAsia" w:ascii="Times New Roman" w:hAnsi="Times New Roman" w:cs="宋体"/>
          <w:sz w:val="24"/>
          <w:szCs w:val="24"/>
        </w:rPr>
        <w:t>万元以上的罚款，法律、行政法规以及国务院有关部门明确规定相关领域“较大数额罚款”标准高于</w:t>
      </w:r>
      <w:r>
        <w:rPr>
          <w:rFonts w:ascii="Times New Roman" w:hAnsi="Times New Roman" w:cs="Times New Roman"/>
          <w:sz w:val="24"/>
          <w:szCs w:val="24"/>
        </w:rPr>
        <w:t>200</w:t>
      </w:r>
      <w:r>
        <w:rPr>
          <w:rFonts w:hint="eastAsia" w:ascii="Times New Roman" w:hAnsi="Times New Roman" w:cs="宋体"/>
          <w:sz w:val="24"/>
          <w:szCs w:val="24"/>
        </w:rPr>
        <w:t>万元的，从其规定。）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我单位满足法律、行政法规规定的其他条件。</w:t>
      </w:r>
    </w:p>
    <w:p>
      <w:pPr>
        <w:spacing w:line="400" w:lineRule="exact"/>
        <w:rPr>
          <w:rFonts w:ascii="Times New Roman" w:hAnsi="Times New Roman" w:cs="Times New Roman"/>
          <w:sz w:val="28"/>
          <w:szCs w:val="28"/>
        </w:rPr>
      </w:pPr>
    </w:p>
    <w:p>
      <w:pPr>
        <w:spacing w:line="480" w:lineRule="auto"/>
        <w:ind w:firstLine="480" w:firstLineChars="200"/>
        <w:jc w:val="right"/>
        <w:rPr>
          <w:rFonts w:ascii="Times New Roman" w:hAnsi="Times New Roman" w:cs="Times New Roman"/>
          <w:sz w:val="24"/>
          <w:szCs w:val="24"/>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投标单位：（加盖公章）</w:t>
      </w:r>
    </w:p>
    <w:p>
      <w:pPr>
        <w:pStyle w:val="2"/>
        <w:rPr>
          <w:rFonts w:cs="Times New Roman"/>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法定代表人或被授权人：（签字或盖章）</w:t>
      </w:r>
    </w:p>
    <w:p>
      <w:pPr>
        <w:spacing w:line="480" w:lineRule="auto"/>
        <w:ind w:firstLine="1320" w:firstLineChars="550"/>
        <w:jc w:val="right"/>
        <w:rPr>
          <w:rFonts w:ascii="Times New Roman" w:hAnsi="Times New Roman" w:cs="Times New Roman"/>
          <w:sz w:val="24"/>
          <w:szCs w:val="24"/>
        </w:rPr>
      </w:pPr>
    </w:p>
    <w:p>
      <w:pPr>
        <w:spacing w:line="480" w:lineRule="auto"/>
        <w:ind w:firstLine="1320" w:firstLineChars="550"/>
        <w:jc w:val="right"/>
        <w:rPr>
          <w:rFonts w:ascii="Times New Roman" w:hAnsi="Times New Roman" w:cs="Times New Roman"/>
          <w:sz w:val="24"/>
          <w:szCs w:val="24"/>
        </w:rPr>
      </w:pPr>
      <w:r>
        <w:rPr>
          <w:rFonts w:hint="eastAsia" w:ascii="Times New Roman" w:hAnsi="Times New Roman" w:cs="宋体"/>
          <w:sz w:val="24"/>
          <w:szCs w:val="24"/>
        </w:rPr>
        <w:t>年</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月</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日</w:t>
      </w:r>
    </w:p>
    <w:p>
      <w:pPr>
        <w:widowControl/>
        <w:jc w:val="left"/>
        <w:rPr>
          <w:rFonts w:ascii="Times New Roman" w:hAnsi="Times New Roman" w:cs="Times New Roman"/>
          <w:b/>
          <w:bCs/>
          <w:sz w:val="24"/>
          <w:szCs w:val="24"/>
        </w:rPr>
      </w:pPr>
      <w:r>
        <w:rPr>
          <w:rFonts w:ascii="Times New Roman" w:hAnsi="Times New Roman" w:cs="Times New Roman"/>
          <w:b/>
          <w:bCs/>
          <w:sz w:val="24"/>
          <w:szCs w:val="24"/>
        </w:rPr>
        <w:br w:type="page"/>
      </w:r>
    </w:p>
    <w:p>
      <w:pPr>
        <w:widowControl/>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r>
        <w:rPr>
          <w:rFonts w:hint="eastAsia" w:ascii="Times New Roman" w:hAnsi="Times New Roman" w:cs="宋体"/>
          <w:b/>
          <w:bCs/>
          <w:sz w:val="24"/>
          <w:szCs w:val="24"/>
        </w:rPr>
        <w:t>、诚信承诺书</w:t>
      </w:r>
    </w:p>
    <w:p>
      <w:pPr>
        <w:spacing w:line="360" w:lineRule="auto"/>
        <w:rPr>
          <w:rFonts w:ascii="Times New Roman" w:hAnsi="Times New Roman" w:cs="Times New Roman"/>
          <w:sz w:val="28"/>
          <w:szCs w:val="28"/>
          <w:u w:val="single"/>
        </w:rPr>
      </w:pPr>
      <w:r>
        <w:rPr>
          <w:rFonts w:ascii="Times New Roman" w:hAnsi="Times New Roman" w:cs="Times New Roman"/>
          <w:sz w:val="24"/>
          <w:szCs w:val="24"/>
          <w:u w:val="single"/>
        </w:rPr>
        <w:softHyphen/>
      </w:r>
      <w:r>
        <w:rPr>
          <w:rFonts w:hint="eastAsia" w:ascii="Times New Roman" w:hAnsi="Times New Roman" w:cs="Times New Roman"/>
          <w:sz w:val="24"/>
          <w:szCs w:val="24"/>
          <w:u w:val="single"/>
        </w:rPr>
        <w:t>南通市第三人民医院</w:t>
      </w:r>
      <w:r>
        <w:rPr>
          <w:rFonts w:hint="eastAsia" w:ascii="Times New Roman" w:hAnsi="Times New Roman" w:cs="宋体"/>
          <w:sz w:val="24"/>
          <w:szCs w:val="24"/>
          <w:u w:val="single"/>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我单位在参加贵单位组织的</w:t>
      </w:r>
      <w:r>
        <w:rPr>
          <w:rFonts w:hint="eastAsia" w:ascii="Times New Roman" w:hAnsi="Times New Roman" w:cs="宋体"/>
          <w:sz w:val="24"/>
          <w:szCs w:val="24"/>
          <w:u w:val="single"/>
        </w:rPr>
        <w:t>南通市第三人民医院招标控制价编制及审核、工程结算审核工作咨询服务项目</w:t>
      </w:r>
      <w:r>
        <w:rPr>
          <w:rFonts w:hint="eastAsia" w:ascii="Times New Roman" w:hAnsi="Times New Roman" w:cs="宋体"/>
          <w:sz w:val="24"/>
          <w:szCs w:val="24"/>
        </w:rPr>
        <w:t>的招投标活动中，郑重承诺如下：</w:t>
      </w:r>
    </w:p>
    <w:p>
      <w:pPr>
        <w:spacing w:line="360" w:lineRule="auto"/>
        <w:ind w:firstLine="48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、我方申报的所有资料都是真实、准确、完整的；</w:t>
      </w:r>
    </w:p>
    <w:p>
      <w:pPr>
        <w:spacing w:line="360" w:lineRule="auto"/>
        <w:ind w:firstLine="48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、我方无资质挂靠或参与串标、围标、及抬标情形；</w:t>
      </w:r>
    </w:p>
    <w:p>
      <w:pPr>
        <w:spacing w:line="360" w:lineRule="auto"/>
        <w:ind w:firstLine="48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、我方没有被各级行政主管部门做出停止市场行为的处罚；</w:t>
      </w:r>
    </w:p>
    <w:p>
      <w:pPr>
        <w:spacing w:line="360" w:lineRule="auto"/>
        <w:ind w:firstLine="48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、若我方中标，将严格按照规定及时与招标单位签订合同；</w:t>
      </w:r>
    </w:p>
    <w:p>
      <w:pPr>
        <w:spacing w:line="360" w:lineRule="auto"/>
        <w:ind w:firstLine="480"/>
        <w:textAlignment w:val="baseline"/>
        <w:rPr>
          <w:rFonts w:ascii="Times New Roman" w:hAnsi="Times New Roman" w:cs="Times New Roman"/>
          <w:sz w:val="24"/>
          <w:szCs w:val="24"/>
        </w:rPr>
      </w:pPr>
      <w:r>
        <w:rPr>
          <w:rFonts w:hint="eastAsia" w:ascii="Times New Roman" w:hAnsi="Times New Roman" w:cs="宋体"/>
          <w:sz w:val="24"/>
          <w:szCs w:val="24"/>
        </w:rPr>
        <w:t>若我方违反上述承诺，隐瞒、提供虚假资料或不按投标文件要求组织实施，被贵方发现或被他人举报查实，无条件接受有贵单位做出的取消投标资格、中标资格、不良行为记录、限制其一定期限内投标资格等处罚。对造成的损失，任何法律和经济责任完全由我方负责。</w:t>
      </w:r>
    </w:p>
    <w:p>
      <w:pPr>
        <w:spacing w:line="360" w:lineRule="auto"/>
        <w:ind w:firstLine="560" w:firstLineChars="200"/>
        <w:rPr>
          <w:rFonts w:ascii="Times New Roman" w:hAnsi="Times New Roman" w:cs="Times New Roman"/>
          <w:sz w:val="28"/>
          <w:szCs w:val="28"/>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投标单位：（加盖公章）</w:t>
      </w:r>
    </w:p>
    <w:p>
      <w:pPr>
        <w:pStyle w:val="2"/>
        <w:rPr>
          <w:rFonts w:cs="Times New Roman"/>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法定代表人或被授权人：（签字或盖章）</w:t>
      </w:r>
    </w:p>
    <w:p>
      <w:pPr>
        <w:spacing w:line="480" w:lineRule="auto"/>
        <w:ind w:firstLine="1320" w:firstLineChars="550"/>
        <w:jc w:val="right"/>
        <w:rPr>
          <w:rFonts w:ascii="Times New Roman" w:hAnsi="Times New Roman" w:cs="Times New Roman"/>
          <w:sz w:val="24"/>
          <w:szCs w:val="24"/>
        </w:rPr>
      </w:pPr>
    </w:p>
    <w:p>
      <w:pPr>
        <w:spacing w:line="480" w:lineRule="auto"/>
        <w:ind w:firstLine="1320" w:firstLineChars="550"/>
        <w:jc w:val="right"/>
        <w:rPr>
          <w:rFonts w:ascii="Times New Roman" w:hAnsi="Times New Roman" w:cs="Times New Roman"/>
          <w:sz w:val="24"/>
          <w:szCs w:val="24"/>
        </w:rPr>
      </w:pPr>
      <w:r>
        <w:rPr>
          <w:rFonts w:hint="eastAsia" w:ascii="Times New Roman" w:hAnsi="Times New Roman" w:cs="宋体"/>
          <w:sz w:val="24"/>
          <w:szCs w:val="24"/>
        </w:rPr>
        <w:t>年</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月</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日</w:t>
      </w:r>
    </w:p>
    <w:p>
      <w:pPr>
        <w:widowControl/>
        <w:jc w:val="left"/>
        <w:rPr>
          <w:rFonts w:ascii="Times New Roman" w:hAnsi="Times New Roman" w:cs="Times New Roman"/>
          <w:b/>
          <w:bCs/>
          <w:sz w:val="24"/>
          <w:szCs w:val="24"/>
        </w:rPr>
      </w:pPr>
      <w:r>
        <w:rPr>
          <w:rFonts w:ascii="Times New Roman" w:hAnsi="Times New Roman" w:cs="Times New Roman"/>
          <w:b/>
          <w:bCs/>
          <w:sz w:val="24"/>
          <w:szCs w:val="24"/>
        </w:rPr>
        <w:br w:type="page"/>
      </w:r>
    </w:p>
    <w:p>
      <w:pPr>
        <w:widowControl/>
        <w:jc w:val="center"/>
        <w:rPr>
          <w:rFonts w:ascii="Times New Roman" w:hAnsi="Times New Roman" w:cs="Times New Roman"/>
          <w:b/>
          <w:bCs/>
          <w:sz w:val="24"/>
          <w:szCs w:val="24"/>
        </w:rPr>
      </w:pPr>
      <w:r>
        <w:rPr>
          <w:rFonts w:ascii="Times New Roman" w:hAnsi="Times New Roman" w:cs="Times New Roman"/>
          <w:b/>
          <w:bCs/>
          <w:sz w:val="24"/>
          <w:szCs w:val="24"/>
        </w:rPr>
        <w:t>5</w:t>
      </w:r>
      <w:r>
        <w:rPr>
          <w:rFonts w:hint="eastAsia" w:ascii="Times New Roman" w:hAnsi="Times New Roman" w:cs="宋体"/>
          <w:b/>
          <w:bCs/>
          <w:sz w:val="24"/>
          <w:szCs w:val="24"/>
        </w:rPr>
        <w:t>、竞争性磋商响应函</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u w:val="single"/>
        </w:rPr>
        <w:t>南通市第三人民医院</w:t>
      </w:r>
      <w:r>
        <w:rPr>
          <w:rFonts w:hint="eastAsia" w:ascii="Times New Roman" w:hAnsi="Times New Roman" w:cs="宋体"/>
          <w:sz w:val="24"/>
          <w:szCs w:val="24"/>
        </w:rPr>
        <w:t>：</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依据贵单位委托代理机构组织的</w:t>
      </w:r>
      <w:r>
        <w:rPr>
          <w:rFonts w:hint="eastAsia" w:ascii="Times New Roman" w:hAnsi="Times New Roman" w:cs="宋体"/>
          <w:sz w:val="24"/>
          <w:szCs w:val="24"/>
          <w:u w:val="single"/>
        </w:rPr>
        <w:t>南通</w:t>
      </w:r>
      <w:r>
        <w:rPr>
          <w:rFonts w:hint="eastAsia" w:ascii="Times New Roman" w:hAnsi="Times New Roman" w:cs="Times New Roman"/>
          <w:sz w:val="24"/>
          <w:szCs w:val="24"/>
          <w:u w:val="single"/>
        </w:rPr>
        <w:t>市第三人民医院招标控制价编制及审核、工程结算审核工作咨询服务项目</w:t>
      </w:r>
      <w:r>
        <w:rPr>
          <w:rFonts w:hint="eastAsia" w:ascii="Times New Roman" w:hAnsi="Times New Roman" w:cs="宋体"/>
          <w:sz w:val="24"/>
          <w:szCs w:val="24"/>
        </w:rPr>
        <w:t>竞争性磋商的邀请，我方授权（姓名）（职务）为全权代表参加该项目的磋商工作，全权处理本次竞争性磋商的有关事宜。同时，我公司声明如下：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、我公司已毫无保留地向贵方提供一切所需的证明材料。</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cs="Times New Roman"/>
          <w:b/>
          <w:bCs/>
          <w:sz w:val="24"/>
          <w:szCs w:val="24"/>
        </w:rPr>
      </w:pPr>
      <w:r>
        <w:rPr>
          <w:rFonts w:ascii="Times New Roman" w:hAnsi="Times New Roman" w:cs="Times New Roman"/>
          <w:sz w:val="24"/>
          <w:szCs w:val="24"/>
        </w:rPr>
        <w:t>5</w:t>
      </w:r>
      <w:r>
        <w:rPr>
          <w:rFonts w:hint="eastAsia" w:ascii="Times New Roman" w:hAnsi="Times New Roman" w:cs="宋体"/>
          <w:sz w:val="24"/>
          <w:szCs w:val="24"/>
        </w:rPr>
        <w:t>、</w:t>
      </w:r>
      <w:r>
        <w:rPr>
          <w:rFonts w:hint="eastAsia" w:ascii="Times New Roman" w:hAnsi="Times New Roman" w:cs="宋体"/>
          <w:b/>
          <w:bCs/>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、一旦成交，我方承诺无正当理由拒绝签订合同，将被贵方取消成交资格。</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宋体"/>
          <w:sz w:val="24"/>
          <w:szCs w:val="24"/>
        </w:rPr>
        <w:t>、</w:t>
      </w:r>
      <w:r>
        <w:rPr>
          <w:rFonts w:hint="eastAsia" w:ascii="Times New Roman" w:hAnsi="Times New Roman" w:cs="宋体"/>
          <w:b/>
          <w:bCs/>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cs="Times New Roman"/>
          <w:sz w:val="24"/>
          <w:szCs w:val="24"/>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投标单位：（加盖公章）</w:t>
      </w:r>
    </w:p>
    <w:p>
      <w:pPr>
        <w:pStyle w:val="2"/>
        <w:rPr>
          <w:rFonts w:cs="Times New Roman"/>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法定代表人或被授权人：（签字或盖章）</w:t>
      </w:r>
    </w:p>
    <w:p>
      <w:pPr>
        <w:pStyle w:val="2"/>
        <w:rPr>
          <w:rFonts w:cs="Times New Roman"/>
        </w:rPr>
      </w:pPr>
    </w:p>
    <w:p>
      <w:pPr>
        <w:spacing w:line="360" w:lineRule="auto"/>
        <w:ind w:firstLine="6840" w:firstLineChars="2850"/>
        <w:textAlignment w:val="baseline"/>
        <w:rPr>
          <w:rFonts w:ascii="Times New Roman" w:hAnsi="Times New Roman" w:cs="Times New Roman"/>
          <w:sz w:val="24"/>
          <w:szCs w:val="24"/>
        </w:rPr>
      </w:pPr>
      <w:r>
        <w:rPr>
          <w:rFonts w:hint="eastAsia" w:ascii="Times New Roman" w:hAnsi="Times New Roman" w:cs="宋体"/>
          <w:sz w:val="24"/>
          <w:szCs w:val="24"/>
        </w:rPr>
        <w:t>年</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月</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日</w:t>
      </w:r>
    </w:p>
    <w:p>
      <w:pPr>
        <w:spacing w:line="400" w:lineRule="exact"/>
        <w:jc w:val="center"/>
        <w:rPr>
          <w:rFonts w:ascii="宋体" w:cs="Times New Roman"/>
          <w:b/>
          <w:bCs/>
          <w:sz w:val="24"/>
          <w:szCs w:val="24"/>
        </w:rPr>
      </w:pPr>
      <w:r>
        <w:rPr>
          <w:rFonts w:ascii="Times New Roman" w:hAnsi="Times New Roman" w:cs="Times New Roman"/>
          <w:sz w:val="24"/>
          <w:szCs w:val="24"/>
        </w:rPr>
        <w:br w:type="page"/>
      </w: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拟</w:t>
      </w:r>
      <w:bookmarkStart w:id="16" w:name="OLE_LINK3"/>
      <w:r>
        <w:rPr>
          <w:rFonts w:hint="eastAsia" w:ascii="宋体" w:hAnsi="宋体" w:cs="宋体"/>
          <w:b/>
          <w:bCs/>
          <w:sz w:val="24"/>
          <w:szCs w:val="24"/>
        </w:rPr>
        <w:t>派项目组造价咨询人员明细表</w:t>
      </w:r>
    </w:p>
    <w:tbl>
      <w:tblPr>
        <w:tblStyle w:val="18"/>
        <w:tblpPr w:leftFromText="180" w:rightFromText="180" w:vertAnchor="text" w:horzAnchor="page" w:tblpXSpec="center" w:tblpY="386"/>
        <w:tblOverlap w:val="never"/>
        <w:tblW w:w="6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095"/>
        <w:gridCol w:w="882"/>
        <w:gridCol w:w="836"/>
        <w:gridCol w:w="748"/>
        <w:gridCol w:w="1282"/>
        <w:gridCol w:w="1691"/>
        <w:gridCol w:w="862"/>
        <w:gridCol w:w="862"/>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 w:type="pct"/>
            <w:noWrap/>
            <w:vAlign w:val="center"/>
          </w:tcPr>
          <w:p>
            <w:pPr>
              <w:jc w:val="center"/>
              <w:rPr>
                <w:rFonts w:ascii="宋体" w:cs="Times New Roman"/>
                <w:sz w:val="24"/>
                <w:szCs w:val="24"/>
              </w:rPr>
            </w:pPr>
            <w:r>
              <w:rPr>
                <w:rFonts w:hint="eastAsia" w:ascii="宋体" w:hAnsi="宋体" w:cs="宋体"/>
                <w:sz w:val="24"/>
                <w:szCs w:val="24"/>
              </w:rPr>
              <w:t>序号</w:t>
            </w:r>
          </w:p>
        </w:tc>
        <w:tc>
          <w:tcPr>
            <w:tcW w:w="498" w:type="pct"/>
            <w:noWrap/>
            <w:vAlign w:val="center"/>
          </w:tcPr>
          <w:p>
            <w:pPr>
              <w:jc w:val="center"/>
              <w:rPr>
                <w:rFonts w:ascii="宋体" w:cs="Times New Roman"/>
                <w:sz w:val="24"/>
                <w:szCs w:val="24"/>
              </w:rPr>
            </w:pPr>
            <w:r>
              <w:rPr>
                <w:rFonts w:hint="eastAsia" w:ascii="宋体" w:hAnsi="宋体" w:cs="宋体"/>
                <w:sz w:val="24"/>
                <w:szCs w:val="24"/>
              </w:rPr>
              <w:t>姓名</w:t>
            </w:r>
          </w:p>
        </w:tc>
        <w:tc>
          <w:tcPr>
            <w:tcW w:w="401" w:type="pct"/>
            <w:noWrap/>
            <w:vAlign w:val="center"/>
          </w:tcPr>
          <w:p>
            <w:pPr>
              <w:jc w:val="center"/>
              <w:rPr>
                <w:rFonts w:ascii="宋体" w:cs="Times New Roman"/>
                <w:sz w:val="24"/>
                <w:szCs w:val="24"/>
              </w:rPr>
            </w:pPr>
            <w:r>
              <w:rPr>
                <w:rFonts w:hint="eastAsia" w:ascii="宋体" w:hAnsi="宋体" w:cs="宋体"/>
                <w:sz w:val="24"/>
                <w:szCs w:val="24"/>
              </w:rPr>
              <w:t>小组分工</w:t>
            </w:r>
          </w:p>
        </w:tc>
        <w:tc>
          <w:tcPr>
            <w:tcW w:w="380" w:type="pct"/>
            <w:noWrap/>
            <w:vAlign w:val="center"/>
          </w:tcPr>
          <w:p>
            <w:pPr>
              <w:jc w:val="center"/>
              <w:rPr>
                <w:rFonts w:ascii="宋体" w:cs="Times New Roman"/>
                <w:sz w:val="24"/>
                <w:szCs w:val="24"/>
              </w:rPr>
            </w:pPr>
            <w:r>
              <w:rPr>
                <w:rFonts w:hint="eastAsia" w:ascii="宋体" w:hAnsi="宋体" w:cs="宋体"/>
                <w:sz w:val="24"/>
                <w:szCs w:val="24"/>
              </w:rPr>
              <w:t>学历</w:t>
            </w:r>
          </w:p>
        </w:tc>
        <w:tc>
          <w:tcPr>
            <w:tcW w:w="340" w:type="pct"/>
            <w:noWrap/>
            <w:vAlign w:val="center"/>
          </w:tcPr>
          <w:p>
            <w:pPr>
              <w:jc w:val="center"/>
              <w:rPr>
                <w:rFonts w:ascii="宋体" w:cs="Times New Roman"/>
                <w:sz w:val="24"/>
                <w:szCs w:val="24"/>
              </w:rPr>
            </w:pPr>
            <w:r>
              <w:rPr>
                <w:rFonts w:hint="eastAsia" w:ascii="宋体" w:hAnsi="宋体" w:cs="宋体"/>
                <w:sz w:val="24"/>
                <w:szCs w:val="24"/>
              </w:rPr>
              <w:t>专业</w:t>
            </w:r>
          </w:p>
        </w:tc>
        <w:tc>
          <w:tcPr>
            <w:tcW w:w="583" w:type="pct"/>
            <w:noWrap/>
            <w:vAlign w:val="center"/>
          </w:tcPr>
          <w:p>
            <w:pPr>
              <w:jc w:val="center"/>
              <w:rPr>
                <w:rFonts w:ascii="宋体" w:cs="Times New Roman"/>
                <w:sz w:val="24"/>
                <w:szCs w:val="24"/>
              </w:rPr>
            </w:pPr>
            <w:r>
              <w:rPr>
                <w:rFonts w:hint="eastAsia" w:ascii="宋体" w:hAnsi="宋体" w:cs="宋体"/>
                <w:sz w:val="24"/>
                <w:szCs w:val="24"/>
              </w:rPr>
              <w:t>执业资格</w:t>
            </w:r>
          </w:p>
        </w:tc>
        <w:tc>
          <w:tcPr>
            <w:tcW w:w="769" w:type="pct"/>
            <w:noWrap/>
            <w:vAlign w:val="center"/>
          </w:tcPr>
          <w:p>
            <w:pPr>
              <w:jc w:val="center"/>
              <w:rPr>
                <w:rFonts w:ascii="宋体" w:cs="Times New Roman"/>
                <w:sz w:val="24"/>
                <w:szCs w:val="24"/>
              </w:rPr>
            </w:pPr>
            <w:r>
              <w:rPr>
                <w:rFonts w:hint="eastAsia" w:ascii="宋体" w:hAnsi="宋体" w:cs="宋体"/>
                <w:sz w:val="24"/>
                <w:szCs w:val="24"/>
              </w:rPr>
              <w:t>资格证书编号</w:t>
            </w:r>
          </w:p>
        </w:tc>
        <w:tc>
          <w:tcPr>
            <w:tcW w:w="392" w:type="pct"/>
            <w:vAlign w:val="center"/>
          </w:tcPr>
          <w:p>
            <w:pPr>
              <w:jc w:val="center"/>
              <w:rPr>
                <w:rFonts w:ascii="宋体" w:hAnsi="宋体" w:cs="宋体"/>
                <w:sz w:val="24"/>
                <w:szCs w:val="24"/>
              </w:rPr>
            </w:pPr>
            <w:r>
              <w:rPr>
                <w:rFonts w:hint="eastAsia" w:ascii="宋体" w:hAnsi="宋体" w:cs="宋体"/>
                <w:sz w:val="24"/>
                <w:szCs w:val="24"/>
              </w:rPr>
              <w:t>职称</w:t>
            </w:r>
          </w:p>
        </w:tc>
        <w:tc>
          <w:tcPr>
            <w:tcW w:w="392" w:type="pct"/>
            <w:noWrap/>
            <w:vAlign w:val="center"/>
          </w:tcPr>
          <w:p>
            <w:pPr>
              <w:jc w:val="center"/>
              <w:rPr>
                <w:rFonts w:ascii="宋体" w:cs="Times New Roman"/>
                <w:sz w:val="24"/>
                <w:szCs w:val="24"/>
              </w:rPr>
            </w:pPr>
            <w:r>
              <w:rPr>
                <w:rFonts w:hint="eastAsia" w:ascii="宋体" w:hAnsi="宋体" w:cs="宋体"/>
                <w:sz w:val="24"/>
                <w:szCs w:val="24"/>
              </w:rPr>
              <w:t>从业年限</w:t>
            </w:r>
          </w:p>
        </w:tc>
        <w:tc>
          <w:tcPr>
            <w:tcW w:w="1005" w:type="pct"/>
            <w:noWrap/>
            <w:vAlign w:val="center"/>
          </w:tcPr>
          <w:p>
            <w:pPr>
              <w:tabs>
                <w:tab w:val="left" w:pos="499"/>
                <w:tab w:val="center" w:pos="1834"/>
              </w:tabs>
              <w:jc w:val="center"/>
              <w:rPr>
                <w:rFonts w:ascii="宋体" w:cs="Times New Roman"/>
                <w:sz w:val="24"/>
                <w:szCs w:val="24"/>
              </w:rPr>
            </w:pPr>
            <w:r>
              <w:rPr>
                <w:rFonts w:hint="eastAsia" w:ascii="宋体" w:hAnsi="宋体" w:cs="宋体"/>
                <w:sz w:val="24"/>
                <w:szCs w:val="24"/>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 w:type="pct"/>
            <w:noWrap/>
            <w:vAlign w:val="center"/>
          </w:tcPr>
          <w:p>
            <w:pPr>
              <w:jc w:val="center"/>
              <w:rPr>
                <w:rFonts w:ascii="宋体" w:cs="Times New Roman"/>
                <w:sz w:val="28"/>
                <w:szCs w:val="28"/>
              </w:rPr>
            </w:pPr>
          </w:p>
        </w:tc>
        <w:tc>
          <w:tcPr>
            <w:tcW w:w="498" w:type="pct"/>
            <w:noWrap/>
            <w:vAlign w:val="center"/>
          </w:tcPr>
          <w:p>
            <w:pPr>
              <w:jc w:val="center"/>
              <w:rPr>
                <w:rFonts w:ascii="宋体" w:cs="Times New Roman"/>
                <w:sz w:val="28"/>
                <w:szCs w:val="28"/>
              </w:rPr>
            </w:pPr>
          </w:p>
        </w:tc>
        <w:tc>
          <w:tcPr>
            <w:tcW w:w="401" w:type="pct"/>
            <w:noWrap/>
            <w:vAlign w:val="center"/>
          </w:tcPr>
          <w:p>
            <w:pPr>
              <w:jc w:val="center"/>
              <w:rPr>
                <w:rFonts w:ascii="宋体" w:cs="Times New Roman"/>
                <w:sz w:val="28"/>
                <w:szCs w:val="28"/>
              </w:rPr>
            </w:pPr>
          </w:p>
        </w:tc>
        <w:tc>
          <w:tcPr>
            <w:tcW w:w="380" w:type="pct"/>
            <w:noWrap/>
            <w:vAlign w:val="center"/>
          </w:tcPr>
          <w:p>
            <w:pPr>
              <w:jc w:val="center"/>
              <w:rPr>
                <w:rFonts w:ascii="宋体" w:cs="Times New Roman"/>
                <w:sz w:val="28"/>
                <w:szCs w:val="28"/>
              </w:rPr>
            </w:pPr>
          </w:p>
        </w:tc>
        <w:tc>
          <w:tcPr>
            <w:tcW w:w="340" w:type="pct"/>
            <w:noWrap/>
            <w:vAlign w:val="center"/>
          </w:tcPr>
          <w:p>
            <w:pPr>
              <w:jc w:val="center"/>
              <w:rPr>
                <w:rFonts w:ascii="宋体" w:cs="Times New Roman"/>
                <w:sz w:val="28"/>
                <w:szCs w:val="28"/>
              </w:rPr>
            </w:pPr>
          </w:p>
        </w:tc>
        <w:tc>
          <w:tcPr>
            <w:tcW w:w="583" w:type="pct"/>
            <w:noWrap/>
            <w:vAlign w:val="center"/>
          </w:tcPr>
          <w:p>
            <w:pPr>
              <w:jc w:val="center"/>
              <w:rPr>
                <w:rFonts w:ascii="宋体" w:cs="Times New Roman"/>
                <w:sz w:val="28"/>
                <w:szCs w:val="28"/>
              </w:rPr>
            </w:pPr>
          </w:p>
        </w:tc>
        <w:tc>
          <w:tcPr>
            <w:tcW w:w="769" w:type="pct"/>
            <w:noWrap/>
            <w:vAlign w:val="center"/>
          </w:tcPr>
          <w:p>
            <w:pPr>
              <w:jc w:val="center"/>
              <w:rPr>
                <w:rFonts w:ascii="宋体" w:cs="Times New Roman"/>
                <w:sz w:val="28"/>
                <w:szCs w:val="28"/>
              </w:rPr>
            </w:pPr>
          </w:p>
        </w:tc>
        <w:tc>
          <w:tcPr>
            <w:tcW w:w="392" w:type="pct"/>
          </w:tcPr>
          <w:p>
            <w:pPr>
              <w:jc w:val="center"/>
              <w:rPr>
                <w:rFonts w:ascii="宋体" w:cs="Times New Roman"/>
                <w:sz w:val="28"/>
                <w:szCs w:val="28"/>
              </w:rPr>
            </w:pPr>
          </w:p>
        </w:tc>
        <w:tc>
          <w:tcPr>
            <w:tcW w:w="392" w:type="pct"/>
            <w:noWrap/>
            <w:vAlign w:val="center"/>
          </w:tcPr>
          <w:p>
            <w:pPr>
              <w:jc w:val="center"/>
              <w:rPr>
                <w:rFonts w:ascii="宋体" w:cs="Times New Roman"/>
                <w:sz w:val="28"/>
                <w:szCs w:val="28"/>
              </w:rPr>
            </w:pPr>
          </w:p>
        </w:tc>
        <w:tc>
          <w:tcPr>
            <w:tcW w:w="1005" w:type="pct"/>
            <w:noWrap/>
            <w:vAlign w:val="center"/>
          </w:tcPr>
          <w:p>
            <w:pPr>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 w:type="pct"/>
            <w:noWrap/>
            <w:vAlign w:val="center"/>
          </w:tcPr>
          <w:p>
            <w:pPr>
              <w:jc w:val="center"/>
              <w:rPr>
                <w:rFonts w:ascii="宋体" w:cs="Times New Roman"/>
                <w:sz w:val="28"/>
                <w:szCs w:val="28"/>
              </w:rPr>
            </w:pPr>
          </w:p>
        </w:tc>
        <w:tc>
          <w:tcPr>
            <w:tcW w:w="498" w:type="pct"/>
            <w:noWrap/>
            <w:vAlign w:val="center"/>
          </w:tcPr>
          <w:p>
            <w:pPr>
              <w:jc w:val="center"/>
              <w:rPr>
                <w:rFonts w:ascii="宋体" w:cs="Times New Roman"/>
                <w:sz w:val="28"/>
                <w:szCs w:val="28"/>
              </w:rPr>
            </w:pPr>
          </w:p>
        </w:tc>
        <w:tc>
          <w:tcPr>
            <w:tcW w:w="401" w:type="pct"/>
            <w:noWrap/>
            <w:vAlign w:val="center"/>
          </w:tcPr>
          <w:p>
            <w:pPr>
              <w:jc w:val="center"/>
              <w:rPr>
                <w:rFonts w:ascii="宋体" w:cs="Times New Roman"/>
                <w:sz w:val="28"/>
                <w:szCs w:val="28"/>
              </w:rPr>
            </w:pPr>
          </w:p>
        </w:tc>
        <w:tc>
          <w:tcPr>
            <w:tcW w:w="380" w:type="pct"/>
            <w:noWrap/>
            <w:vAlign w:val="center"/>
          </w:tcPr>
          <w:p>
            <w:pPr>
              <w:jc w:val="center"/>
              <w:rPr>
                <w:rFonts w:ascii="宋体" w:cs="Times New Roman"/>
                <w:sz w:val="28"/>
                <w:szCs w:val="28"/>
              </w:rPr>
            </w:pPr>
          </w:p>
        </w:tc>
        <w:tc>
          <w:tcPr>
            <w:tcW w:w="340" w:type="pct"/>
            <w:noWrap/>
            <w:vAlign w:val="center"/>
          </w:tcPr>
          <w:p>
            <w:pPr>
              <w:jc w:val="center"/>
              <w:rPr>
                <w:rFonts w:ascii="宋体" w:cs="Times New Roman"/>
                <w:sz w:val="28"/>
                <w:szCs w:val="28"/>
              </w:rPr>
            </w:pPr>
          </w:p>
        </w:tc>
        <w:tc>
          <w:tcPr>
            <w:tcW w:w="583" w:type="pct"/>
            <w:noWrap/>
            <w:vAlign w:val="center"/>
          </w:tcPr>
          <w:p>
            <w:pPr>
              <w:jc w:val="center"/>
              <w:rPr>
                <w:rFonts w:ascii="宋体" w:cs="Times New Roman"/>
                <w:sz w:val="28"/>
                <w:szCs w:val="28"/>
              </w:rPr>
            </w:pPr>
          </w:p>
        </w:tc>
        <w:tc>
          <w:tcPr>
            <w:tcW w:w="769" w:type="pct"/>
            <w:noWrap/>
            <w:vAlign w:val="center"/>
          </w:tcPr>
          <w:p>
            <w:pPr>
              <w:jc w:val="center"/>
              <w:rPr>
                <w:rFonts w:ascii="宋体" w:cs="Times New Roman"/>
                <w:sz w:val="28"/>
                <w:szCs w:val="28"/>
              </w:rPr>
            </w:pPr>
          </w:p>
        </w:tc>
        <w:tc>
          <w:tcPr>
            <w:tcW w:w="392" w:type="pct"/>
          </w:tcPr>
          <w:p>
            <w:pPr>
              <w:jc w:val="center"/>
              <w:rPr>
                <w:rFonts w:ascii="宋体" w:cs="Times New Roman"/>
                <w:sz w:val="28"/>
                <w:szCs w:val="28"/>
              </w:rPr>
            </w:pPr>
          </w:p>
        </w:tc>
        <w:tc>
          <w:tcPr>
            <w:tcW w:w="392" w:type="pct"/>
            <w:noWrap/>
            <w:vAlign w:val="center"/>
          </w:tcPr>
          <w:p>
            <w:pPr>
              <w:jc w:val="center"/>
              <w:rPr>
                <w:rFonts w:ascii="宋体" w:cs="Times New Roman"/>
                <w:sz w:val="28"/>
                <w:szCs w:val="28"/>
              </w:rPr>
            </w:pPr>
          </w:p>
        </w:tc>
        <w:tc>
          <w:tcPr>
            <w:tcW w:w="1005" w:type="pct"/>
            <w:noWrap/>
            <w:vAlign w:val="center"/>
          </w:tcPr>
          <w:p>
            <w:pPr>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 w:type="pct"/>
            <w:noWrap/>
            <w:vAlign w:val="center"/>
          </w:tcPr>
          <w:p>
            <w:pPr>
              <w:jc w:val="center"/>
              <w:rPr>
                <w:rFonts w:ascii="宋体" w:cs="Times New Roman"/>
                <w:sz w:val="28"/>
                <w:szCs w:val="28"/>
              </w:rPr>
            </w:pPr>
          </w:p>
        </w:tc>
        <w:tc>
          <w:tcPr>
            <w:tcW w:w="498" w:type="pct"/>
            <w:noWrap/>
            <w:vAlign w:val="center"/>
          </w:tcPr>
          <w:p>
            <w:pPr>
              <w:jc w:val="center"/>
              <w:rPr>
                <w:rFonts w:ascii="宋体" w:cs="Times New Roman"/>
                <w:sz w:val="28"/>
                <w:szCs w:val="28"/>
              </w:rPr>
            </w:pPr>
          </w:p>
        </w:tc>
        <w:tc>
          <w:tcPr>
            <w:tcW w:w="401" w:type="pct"/>
            <w:noWrap/>
            <w:vAlign w:val="center"/>
          </w:tcPr>
          <w:p>
            <w:pPr>
              <w:jc w:val="center"/>
              <w:rPr>
                <w:rFonts w:ascii="宋体" w:cs="Times New Roman"/>
                <w:sz w:val="28"/>
                <w:szCs w:val="28"/>
              </w:rPr>
            </w:pPr>
          </w:p>
        </w:tc>
        <w:tc>
          <w:tcPr>
            <w:tcW w:w="380" w:type="pct"/>
            <w:noWrap/>
            <w:vAlign w:val="center"/>
          </w:tcPr>
          <w:p>
            <w:pPr>
              <w:jc w:val="center"/>
              <w:rPr>
                <w:rFonts w:ascii="宋体" w:cs="Times New Roman"/>
                <w:sz w:val="28"/>
                <w:szCs w:val="28"/>
              </w:rPr>
            </w:pPr>
          </w:p>
        </w:tc>
        <w:tc>
          <w:tcPr>
            <w:tcW w:w="340" w:type="pct"/>
            <w:noWrap/>
            <w:vAlign w:val="center"/>
          </w:tcPr>
          <w:p>
            <w:pPr>
              <w:jc w:val="center"/>
              <w:rPr>
                <w:rFonts w:ascii="宋体" w:cs="Times New Roman"/>
                <w:sz w:val="28"/>
                <w:szCs w:val="28"/>
              </w:rPr>
            </w:pPr>
          </w:p>
        </w:tc>
        <w:tc>
          <w:tcPr>
            <w:tcW w:w="583" w:type="pct"/>
            <w:noWrap/>
            <w:vAlign w:val="center"/>
          </w:tcPr>
          <w:p>
            <w:pPr>
              <w:jc w:val="center"/>
              <w:rPr>
                <w:rFonts w:ascii="宋体" w:cs="Times New Roman"/>
                <w:sz w:val="28"/>
                <w:szCs w:val="28"/>
              </w:rPr>
            </w:pPr>
          </w:p>
        </w:tc>
        <w:tc>
          <w:tcPr>
            <w:tcW w:w="769" w:type="pct"/>
            <w:noWrap/>
            <w:vAlign w:val="center"/>
          </w:tcPr>
          <w:p>
            <w:pPr>
              <w:jc w:val="center"/>
              <w:rPr>
                <w:rFonts w:ascii="宋体" w:cs="Times New Roman"/>
                <w:sz w:val="28"/>
                <w:szCs w:val="28"/>
              </w:rPr>
            </w:pPr>
          </w:p>
        </w:tc>
        <w:tc>
          <w:tcPr>
            <w:tcW w:w="392" w:type="pct"/>
          </w:tcPr>
          <w:p>
            <w:pPr>
              <w:jc w:val="center"/>
              <w:rPr>
                <w:rFonts w:ascii="宋体" w:cs="Times New Roman"/>
                <w:sz w:val="28"/>
                <w:szCs w:val="28"/>
              </w:rPr>
            </w:pPr>
          </w:p>
        </w:tc>
        <w:tc>
          <w:tcPr>
            <w:tcW w:w="392" w:type="pct"/>
            <w:noWrap/>
            <w:vAlign w:val="center"/>
          </w:tcPr>
          <w:p>
            <w:pPr>
              <w:jc w:val="center"/>
              <w:rPr>
                <w:rFonts w:ascii="宋体" w:cs="Times New Roman"/>
                <w:sz w:val="28"/>
                <w:szCs w:val="28"/>
              </w:rPr>
            </w:pPr>
          </w:p>
        </w:tc>
        <w:tc>
          <w:tcPr>
            <w:tcW w:w="1005" w:type="pct"/>
            <w:noWrap/>
            <w:vAlign w:val="center"/>
          </w:tcPr>
          <w:p>
            <w:pPr>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 w:type="pct"/>
            <w:noWrap/>
            <w:vAlign w:val="center"/>
          </w:tcPr>
          <w:p>
            <w:pPr>
              <w:jc w:val="center"/>
              <w:rPr>
                <w:rFonts w:ascii="宋体" w:cs="Times New Roman"/>
                <w:sz w:val="28"/>
                <w:szCs w:val="28"/>
              </w:rPr>
            </w:pPr>
          </w:p>
        </w:tc>
        <w:tc>
          <w:tcPr>
            <w:tcW w:w="498" w:type="pct"/>
            <w:noWrap/>
            <w:vAlign w:val="center"/>
          </w:tcPr>
          <w:p>
            <w:pPr>
              <w:jc w:val="center"/>
              <w:rPr>
                <w:rFonts w:ascii="宋体" w:cs="Times New Roman"/>
                <w:sz w:val="28"/>
                <w:szCs w:val="28"/>
              </w:rPr>
            </w:pPr>
          </w:p>
        </w:tc>
        <w:tc>
          <w:tcPr>
            <w:tcW w:w="401" w:type="pct"/>
            <w:noWrap/>
            <w:vAlign w:val="center"/>
          </w:tcPr>
          <w:p>
            <w:pPr>
              <w:jc w:val="center"/>
              <w:rPr>
                <w:rFonts w:ascii="宋体" w:cs="Times New Roman"/>
                <w:sz w:val="28"/>
                <w:szCs w:val="28"/>
              </w:rPr>
            </w:pPr>
          </w:p>
        </w:tc>
        <w:tc>
          <w:tcPr>
            <w:tcW w:w="380" w:type="pct"/>
            <w:noWrap/>
            <w:vAlign w:val="center"/>
          </w:tcPr>
          <w:p>
            <w:pPr>
              <w:jc w:val="center"/>
              <w:rPr>
                <w:rFonts w:ascii="宋体" w:cs="Times New Roman"/>
                <w:sz w:val="28"/>
                <w:szCs w:val="28"/>
              </w:rPr>
            </w:pPr>
          </w:p>
        </w:tc>
        <w:tc>
          <w:tcPr>
            <w:tcW w:w="340" w:type="pct"/>
            <w:noWrap/>
            <w:vAlign w:val="center"/>
          </w:tcPr>
          <w:p>
            <w:pPr>
              <w:jc w:val="center"/>
              <w:rPr>
                <w:rFonts w:ascii="宋体" w:cs="Times New Roman"/>
                <w:sz w:val="28"/>
                <w:szCs w:val="28"/>
              </w:rPr>
            </w:pPr>
          </w:p>
        </w:tc>
        <w:tc>
          <w:tcPr>
            <w:tcW w:w="583" w:type="pct"/>
            <w:noWrap/>
            <w:vAlign w:val="center"/>
          </w:tcPr>
          <w:p>
            <w:pPr>
              <w:jc w:val="center"/>
              <w:rPr>
                <w:rFonts w:ascii="宋体" w:cs="Times New Roman"/>
                <w:sz w:val="28"/>
                <w:szCs w:val="28"/>
              </w:rPr>
            </w:pPr>
          </w:p>
        </w:tc>
        <w:tc>
          <w:tcPr>
            <w:tcW w:w="769" w:type="pct"/>
            <w:noWrap/>
            <w:vAlign w:val="center"/>
          </w:tcPr>
          <w:p>
            <w:pPr>
              <w:jc w:val="center"/>
              <w:rPr>
                <w:rFonts w:ascii="宋体" w:cs="Times New Roman"/>
                <w:sz w:val="28"/>
                <w:szCs w:val="28"/>
              </w:rPr>
            </w:pPr>
          </w:p>
        </w:tc>
        <w:tc>
          <w:tcPr>
            <w:tcW w:w="392" w:type="pct"/>
          </w:tcPr>
          <w:p>
            <w:pPr>
              <w:jc w:val="center"/>
              <w:rPr>
                <w:rFonts w:ascii="宋体" w:cs="Times New Roman"/>
                <w:sz w:val="28"/>
                <w:szCs w:val="28"/>
              </w:rPr>
            </w:pPr>
          </w:p>
        </w:tc>
        <w:tc>
          <w:tcPr>
            <w:tcW w:w="392" w:type="pct"/>
            <w:noWrap/>
            <w:vAlign w:val="center"/>
          </w:tcPr>
          <w:p>
            <w:pPr>
              <w:jc w:val="center"/>
              <w:rPr>
                <w:rFonts w:ascii="宋体" w:cs="Times New Roman"/>
                <w:sz w:val="28"/>
                <w:szCs w:val="28"/>
              </w:rPr>
            </w:pPr>
          </w:p>
        </w:tc>
        <w:tc>
          <w:tcPr>
            <w:tcW w:w="1005" w:type="pct"/>
            <w:noWrap/>
            <w:vAlign w:val="center"/>
          </w:tcPr>
          <w:p>
            <w:pPr>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 w:type="pct"/>
            <w:noWrap/>
            <w:vAlign w:val="center"/>
          </w:tcPr>
          <w:p>
            <w:pPr>
              <w:jc w:val="center"/>
              <w:rPr>
                <w:rFonts w:ascii="宋体" w:cs="Times New Roman"/>
                <w:sz w:val="28"/>
                <w:szCs w:val="28"/>
              </w:rPr>
            </w:pPr>
          </w:p>
        </w:tc>
        <w:tc>
          <w:tcPr>
            <w:tcW w:w="498" w:type="pct"/>
            <w:noWrap/>
            <w:vAlign w:val="center"/>
          </w:tcPr>
          <w:p>
            <w:pPr>
              <w:jc w:val="center"/>
              <w:rPr>
                <w:rFonts w:ascii="宋体" w:cs="Times New Roman"/>
                <w:sz w:val="28"/>
                <w:szCs w:val="28"/>
              </w:rPr>
            </w:pPr>
          </w:p>
        </w:tc>
        <w:tc>
          <w:tcPr>
            <w:tcW w:w="401" w:type="pct"/>
            <w:noWrap/>
            <w:vAlign w:val="center"/>
          </w:tcPr>
          <w:p>
            <w:pPr>
              <w:jc w:val="center"/>
              <w:rPr>
                <w:rFonts w:ascii="宋体" w:cs="Times New Roman"/>
                <w:sz w:val="28"/>
                <w:szCs w:val="28"/>
              </w:rPr>
            </w:pPr>
          </w:p>
        </w:tc>
        <w:tc>
          <w:tcPr>
            <w:tcW w:w="380" w:type="pct"/>
            <w:noWrap/>
            <w:vAlign w:val="center"/>
          </w:tcPr>
          <w:p>
            <w:pPr>
              <w:jc w:val="center"/>
              <w:rPr>
                <w:rFonts w:ascii="宋体" w:cs="Times New Roman"/>
                <w:sz w:val="28"/>
                <w:szCs w:val="28"/>
              </w:rPr>
            </w:pPr>
          </w:p>
        </w:tc>
        <w:tc>
          <w:tcPr>
            <w:tcW w:w="340" w:type="pct"/>
            <w:noWrap/>
            <w:vAlign w:val="center"/>
          </w:tcPr>
          <w:p>
            <w:pPr>
              <w:jc w:val="center"/>
              <w:rPr>
                <w:rFonts w:ascii="宋体" w:cs="Times New Roman"/>
                <w:sz w:val="28"/>
                <w:szCs w:val="28"/>
              </w:rPr>
            </w:pPr>
          </w:p>
        </w:tc>
        <w:tc>
          <w:tcPr>
            <w:tcW w:w="583" w:type="pct"/>
            <w:noWrap/>
            <w:vAlign w:val="center"/>
          </w:tcPr>
          <w:p>
            <w:pPr>
              <w:jc w:val="center"/>
              <w:rPr>
                <w:rFonts w:ascii="宋体" w:cs="Times New Roman"/>
                <w:sz w:val="28"/>
                <w:szCs w:val="28"/>
              </w:rPr>
            </w:pPr>
          </w:p>
        </w:tc>
        <w:tc>
          <w:tcPr>
            <w:tcW w:w="769" w:type="pct"/>
            <w:noWrap/>
            <w:vAlign w:val="center"/>
          </w:tcPr>
          <w:p>
            <w:pPr>
              <w:jc w:val="center"/>
              <w:rPr>
                <w:rFonts w:ascii="宋体" w:cs="Times New Roman"/>
                <w:sz w:val="28"/>
                <w:szCs w:val="28"/>
              </w:rPr>
            </w:pPr>
          </w:p>
        </w:tc>
        <w:tc>
          <w:tcPr>
            <w:tcW w:w="392" w:type="pct"/>
          </w:tcPr>
          <w:p>
            <w:pPr>
              <w:jc w:val="center"/>
              <w:rPr>
                <w:rFonts w:ascii="宋体" w:cs="Times New Roman"/>
                <w:sz w:val="28"/>
                <w:szCs w:val="28"/>
              </w:rPr>
            </w:pPr>
          </w:p>
        </w:tc>
        <w:tc>
          <w:tcPr>
            <w:tcW w:w="392" w:type="pct"/>
            <w:noWrap/>
            <w:vAlign w:val="center"/>
          </w:tcPr>
          <w:p>
            <w:pPr>
              <w:jc w:val="center"/>
              <w:rPr>
                <w:rFonts w:ascii="宋体" w:cs="Times New Roman"/>
                <w:sz w:val="28"/>
                <w:szCs w:val="28"/>
              </w:rPr>
            </w:pPr>
          </w:p>
        </w:tc>
        <w:tc>
          <w:tcPr>
            <w:tcW w:w="1005" w:type="pct"/>
            <w:noWrap/>
            <w:vAlign w:val="center"/>
          </w:tcPr>
          <w:p>
            <w:pPr>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9" w:type="pct"/>
            <w:noWrap/>
            <w:vAlign w:val="center"/>
          </w:tcPr>
          <w:p>
            <w:pPr>
              <w:jc w:val="center"/>
              <w:rPr>
                <w:rFonts w:ascii="宋体" w:cs="Times New Roman"/>
                <w:sz w:val="28"/>
                <w:szCs w:val="28"/>
              </w:rPr>
            </w:pPr>
          </w:p>
        </w:tc>
        <w:tc>
          <w:tcPr>
            <w:tcW w:w="498" w:type="pct"/>
            <w:noWrap/>
            <w:vAlign w:val="center"/>
          </w:tcPr>
          <w:p>
            <w:pPr>
              <w:jc w:val="center"/>
              <w:rPr>
                <w:rFonts w:ascii="宋体" w:cs="Times New Roman"/>
                <w:sz w:val="28"/>
                <w:szCs w:val="28"/>
              </w:rPr>
            </w:pPr>
          </w:p>
        </w:tc>
        <w:tc>
          <w:tcPr>
            <w:tcW w:w="401" w:type="pct"/>
            <w:noWrap/>
            <w:vAlign w:val="center"/>
          </w:tcPr>
          <w:p>
            <w:pPr>
              <w:jc w:val="center"/>
              <w:rPr>
                <w:rFonts w:ascii="宋体" w:cs="Times New Roman"/>
                <w:sz w:val="28"/>
                <w:szCs w:val="28"/>
              </w:rPr>
            </w:pPr>
          </w:p>
        </w:tc>
        <w:tc>
          <w:tcPr>
            <w:tcW w:w="380" w:type="pct"/>
            <w:noWrap/>
            <w:vAlign w:val="center"/>
          </w:tcPr>
          <w:p>
            <w:pPr>
              <w:jc w:val="center"/>
              <w:rPr>
                <w:rFonts w:ascii="宋体" w:cs="Times New Roman"/>
                <w:sz w:val="28"/>
                <w:szCs w:val="28"/>
              </w:rPr>
            </w:pPr>
          </w:p>
        </w:tc>
        <w:tc>
          <w:tcPr>
            <w:tcW w:w="340" w:type="pct"/>
            <w:noWrap/>
            <w:vAlign w:val="center"/>
          </w:tcPr>
          <w:p>
            <w:pPr>
              <w:jc w:val="center"/>
              <w:rPr>
                <w:rFonts w:ascii="宋体" w:cs="Times New Roman"/>
                <w:sz w:val="28"/>
                <w:szCs w:val="28"/>
              </w:rPr>
            </w:pPr>
          </w:p>
        </w:tc>
        <w:tc>
          <w:tcPr>
            <w:tcW w:w="583" w:type="pct"/>
            <w:noWrap/>
            <w:vAlign w:val="center"/>
          </w:tcPr>
          <w:p>
            <w:pPr>
              <w:jc w:val="center"/>
              <w:rPr>
                <w:rFonts w:ascii="宋体" w:cs="Times New Roman"/>
                <w:sz w:val="28"/>
                <w:szCs w:val="28"/>
              </w:rPr>
            </w:pPr>
          </w:p>
        </w:tc>
        <w:tc>
          <w:tcPr>
            <w:tcW w:w="769" w:type="pct"/>
            <w:noWrap/>
            <w:vAlign w:val="center"/>
          </w:tcPr>
          <w:p>
            <w:pPr>
              <w:jc w:val="center"/>
              <w:rPr>
                <w:rFonts w:ascii="宋体" w:cs="Times New Roman"/>
                <w:sz w:val="28"/>
                <w:szCs w:val="28"/>
              </w:rPr>
            </w:pPr>
          </w:p>
        </w:tc>
        <w:tc>
          <w:tcPr>
            <w:tcW w:w="392" w:type="pct"/>
          </w:tcPr>
          <w:p>
            <w:pPr>
              <w:jc w:val="center"/>
              <w:rPr>
                <w:rFonts w:ascii="宋体" w:cs="Times New Roman"/>
                <w:sz w:val="28"/>
                <w:szCs w:val="28"/>
              </w:rPr>
            </w:pPr>
          </w:p>
        </w:tc>
        <w:tc>
          <w:tcPr>
            <w:tcW w:w="392" w:type="pct"/>
            <w:noWrap/>
            <w:vAlign w:val="center"/>
          </w:tcPr>
          <w:p>
            <w:pPr>
              <w:jc w:val="center"/>
              <w:rPr>
                <w:rFonts w:ascii="宋体" w:cs="Times New Roman"/>
                <w:sz w:val="28"/>
                <w:szCs w:val="28"/>
              </w:rPr>
            </w:pPr>
          </w:p>
        </w:tc>
        <w:tc>
          <w:tcPr>
            <w:tcW w:w="1005" w:type="pct"/>
            <w:noWrap/>
            <w:vAlign w:val="center"/>
          </w:tcPr>
          <w:p>
            <w:pPr>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39" w:type="pct"/>
            <w:noWrap/>
            <w:vAlign w:val="center"/>
          </w:tcPr>
          <w:p>
            <w:pPr>
              <w:jc w:val="center"/>
              <w:rPr>
                <w:rFonts w:ascii="宋体" w:cs="Times New Roman"/>
                <w:sz w:val="28"/>
                <w:szCs w:val="28"/>
              </w:rPr>
            </w:pPr>
          </w:p>
        </w:tc>
        <w:tc>
          <w:tcPr>
            <w:tcW w:w="498" w:type="pct"/>
            <w:noWrap/>
            <w:vAlign w:val="center"/>
          </w:tcPr>
          <w:p>
            <w:pPr>
              <w:jc w:val="center"/>
              <w:rPr>
                <w:rFonts w:ascii="宋体" w:cs="Times New Roman"/>
                <w:sz w:val="28"/>
                <w:szCs w:val="28"/>
              </w:rPr>
            </w:pPr>
          </w:p>
        </w:tc>
        <w:tc>
          <w:tcPr>
            <w:tcW w:w="401" w:type="pct"/>
            <w:noWrap/>
            <w:vAlign w:val="center"/>
          </w:tcPr>
          <w:p>
            <w:pPr>
              <w:jc w:val="center"/>
              <w:rPr>
                <w:rFonts w:ascii="宋体" w:cs="Times New Roman"/>
                <w:sz w:val="28"/>
                <w:szCs w:val="28"/>
              </w:rPr>
            </w:pPr>
          </w:p>
        </w:tc>
        <w:tc>
          <w:tcPr>
            <w:tcW w:w="380" w:type="pct"/>
            <w:noWrap/>
            <w:vAlign w:val="center"/>
          </w:tcPr>
          <w:p>
            <w:pPr>
              <w:jc w:val="center"/>
              <w:rPr>
                <w:rFonts w:ascii="宋体" w:cs="Times New Roman"/>
                <w:sz w:val="28"/>
                <w:szCs w:val="28"/>
              </w:rPr>
            </w:pPr>
          </w:p>
        </w:tc>
        <w:tc>
          <w:tcPr>
            <w:tcW w:w="340" w:type="pct"/>
            <w:noWrap/>
            <w:vAlign w:val="center"/>
          </w:tcPr>
          <w:p>
            <w:pPr>
              <w:jc w:val="center"/>
              <w:rPr>
                <w:rFonts w:ascii="宋体" w:cs="Times New Roman"/>
                <w:sz w:val="28"/>
                <w:szCs w:val="28"/>
              </w:rPr>
            </w:pPr>
          </w:p>
        </w:tc>
        <w:tc>
          <w:tcPr>
            <w:tcW w:w="583" w:type="pct"/>
            <w:noWrap/>
            <w:vAlign w:val="center"/>
          </w:tcPr>
          <w:p>
            <w:pPr>
              <w:jc w:val="center"/>
              <w:rPr>
                <w:rFonts w:ascii="宋体" w:cs="Times New Roman"/>
                <w:sz w:val="28"/>
                <w:szCs w:val="28"/>
              </w:rPr>
            </w:pPr>
          </w:p>
        </w:tc>
        <w:tc>
          <w:tcPr>
            <w:tcW w:w="769" w:type="pct"/>
            <w:noWrap/>
            <w:vAlign w:val="center"/>
          </w:tcPr>
          <w:p>
            <w:pPr>
              <w:jc w:val="center"/>
              <w:rPr>
                <w:rFonts w:ascii="宋体" w:cs="Times New Roman"/>
                <w:sz w:val="28"/>
                <w:szCs w:val="28"/>
              </w:rPr>
            </w:pPr>
          </w:p>
        </w:tc>
        <w:tc>
          <w:tcPr>
            <w:tcW w:w="392" w:type="pct"/>
          </w:tcPr>
          <w:p>
            <w:pPr>
              <w:jc w:val="center"/>
              <w:rPr>
                <w:rFonts w:ascii="宋体" w:cs="Times New Roman"/>
                <w:sz w:val="28"/>
                <w:szCs w:val="28"/>
              </w:rPr>
            </w:pPr>
          </w:p>
        </w:tc>
        <w:tc>
          <w:tcPr>
            <w:tcW w:w="392" w:type="pct"/>
            <w:noWrap/>
            <w:vAlign w:val="center"/>
          </w:tcPr>
          <w:p>
            <w:pPr>
              <w:jc w:val="center"/>
              <w:rPr>
                <w:rFonts w:ascii="宋体" w:cs="Times New Roman"/>
                <w:sz w:val="28"/>
                <w:szCs w:val="28"/>
              </w:rPr>
            </w:pPr>
          </w:p>
        </w:tc>
        <w:tc>
          <w:tcPr>
            <w:tcW w:w="1005" w:type="pct"/>
            <w:noWrap/>
            <w:vAlign w:val="center"/>
          </w:tcPr>
          <w:p>
            <w:pPr>
              <w:jc w:val="center"/>
              <w:rPr>
                <w:rFonts w:ascii="宋体" w:cs="Times New Roman"/>
                <w:sz w:val="28"/>
                <w:szCs w:val="28"/>
              </w:rPr>
            </w:pPr>
          </w:p>
        </w:tc>
      </w:tr>
    </w:tbl>
    <w:p>
      <w:pPr>
        <w:spacing w:line="400" w:lineRule="exact"/>
        <w:jc w:val="center"/>
        <w:rPr>
          <w:rFonts w:ascii="宋体" w:cs="Times New Roman"/>
          <w:b/>
          <w:bCs/>
          <w:sz w:val="36"/>
          <w:szCs w:val="36"/>
        </w:rPr>
      </w:pPr>
    </w:p>
    <w:bookmarkEnd w:id="16"/>
    <w:p>
      <w:pPr>
        <w:widowControl/>
        <w:spacing w:line="360" w:lineRule="auto"/>
        <w:jc w:val="left"/>
        <w:rPr>
          <w:rFonts w:ascii="宋体" w:cs="Times New Roman"/>
          <w:sz w:val="24"/>
          <w:szCs w:val="24"/>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投标单位：（加盖公章）</w:t>
      </w:r>
    </w:p>
    <w:p>
      <w:pPr>
        <w:pStyle w:val="2"/>
        <w:rPr>
          <w:rFonts w:cs="Times New Roman"/>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法定代表人或被授权人：（签字或盖章）</w:t>
      </w:r>
    </w:p>
    <w:p>
      <w:pPr>
        <w:pStyle w:val="2"/>
        <w:rPr>
          <w:rFonts w:cs="Times New Roman"/>
        </w:rPr>
      </w:pPr>
    </w:p>
    <w:p>
      <w:pPr>
        <w:spacing w:line="360" w:lineRule="auto"/>
        <w:ind w:firstLine="6840" w:firstLineChars="2850"/>
        <w:textAlignment w:val="baseline"/>
        <w:rPr>
          <w:rFonts w:ascii="Times New Roman" w:hAnsi="Times New Roman" w:cs="Times New Roman"/>
          <w:sz w:val="24"/>
          <w:szCs w:val="24"/>
        </w:rPr>
      </w:pPr>
      <w:r>
        <w:rPr>
          <w:rFonts w:hint="eastAsia" w:ascii="Times New Roman" w:hAnsi="Times New Roman" w:cs="宋体"/>
          <w:sz w:val="24"/>
          <w:szCs w:val="24"/>
        </w:rPr>
        <w:t>年</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月</w:t>
      </w:r>
      <w:r>
        <w:rPr>
          <w:rFonts w:hint="eastAsia" w:ascii="Times New Roman" w:hAnsi="Times New Roman" w:cs="宋体"/>
          <w:sz w:val="24"/>
          <w:szCs w:val="24"/>
          <w:lang w:val="en-US" w:eastAsia="zh-CN"/>
        </w:rPr>
        <w:t xml:space="preserve">  </w:t>
      </w:r>
      <w:r>
        <w:rPr>
          <w:rFonts w:hint="eastAsia" w:ascii="Times New Roman" w:hAnsi="Times New Roman" w:cs="宋体"/>
          <w:sz w:val="24"/>
          <w:szCs w:val="24"/>
        </w:rPr>
        <w:t>日</w:t>
      </w:r>
    </w:p>
    <w:p>
      <w:pPr>
        <w:widowControl/>
        <w:spacing w:line="360" w:lineRule="auto"/>
        <w:jc w:val="center"/>
        <w:rPr>
          <w:rFonts w:ascii="宋体" w:cs="Times New Roman"/>
          <w:b/>
          <w:bCs/>
          <w:sz w:val="24"/>
          <w:szCs w:val="24"/>
        </w:rPr>
      </w:pPr>
    </w:p>
    <w:p>
      <w:pPr>
        <w:widowControl/>
        <w:spacing w:line="360" w:lineRule="auto"/>
        <w:jc w:val="center"/>
        <w:rPr>
          <w:rFonts w:ascii="宋体" w:cs="Times New Roman"/>
          <w:b/>
          <w:bCs/>
          <w:sz w:val="24"/>
          <w:szCs w:val="24"/>
        </w:rPr>
      </w:pPr>
    </w:p>
    <w:p>
      <w:pPr>
        <w:widowControl/>
        <w:spacing w:line="360" w:lineRule="auto"/>
        <w:jc w:val="center"/>
        <w:rPr>
          <w:rFonts w:ascii="宋体" w:cs="Times New Roman"/>
          <w:b/>
          <w:bCs/>
          <w:sz w:val="24"/>
          <w:szCs w:val="24"/>
        </w:rPr>
      </w:pPr>
    </w:p>
    <w:p>
      <w:pPr>
        <w:widowControl/>
        <w:spacing w:line="360" w:lineRule="auto"/>
        <w:jc w:val="center"/>
        <w:rPr>
          <w:rFonts w:ascii="宋体" w:cs="Times New Roman"/>
          <w:b/>
          <w:bCs/>
          <w:sz w:val="24"/>
          <w:szCs w:val="24"/>
        </w:rPr>
      </w:pPr>
    </w:p>
    <w:p>
      <w:pPr>
        <w:widowControl/>
        <w:spacing w:line="360" w:lineRule="auto"/>
        <w:jc w:val="center"/>
        <w:rPr>
          <w:rFonts w:ascii="宋体" w:cs="Times New Roman"/>
          <w:b/>
          <w:bCs/>
          <w:sz w:val="24"/>
          <w:szCs w:val="24"/>
        </w:rPr>
      </w:pPr>
    </w:p>
    <w:p>
      <w:pPr>
        <w:widowControl/>
        <w:spacing w:line="360" w:lineRule="auto"/>
        <w:jc w:val="center"/>
        <w:rPr>
          <w:rFonts w:ascii="宋体" w:cs="Times New Roman"/>
          <w:b/>
          <w:bCs/>
          <w:sz w:val="24"/>
          <w:szCs w:val="24"/>
        </w:rPr>
      </w:pPr>
    </w:p>
    <w:p>
      <w:pPr>
        <w:widowControl/>
        <w:spacing w:line="360" w:lineRule="auto"/>
        <w:jc w:val="center"/>
        <w:rPr>
          <w:rFonts w:ascii="宋体" w:cs="Times New Roman"/>
          <w:b/>
          <w:bCs/>
          <w:sz w:val="24"/>
          <w:szCs w:val="24"/>
        </w:rPr>
      </w:pPr>
    </w:p>
    <w:p>
      <w:pPr>
        <w:widowControl/>
        <w:spacing w:line="360" w:lineRule="auto"/>
        <w:jc w:val="center"/>
        <w:rPr>
          <w:rFonts w:ascii="宋体" w:cs="Times New Roman"/>
        </w:rPr>
      </w:pPr>
      <w:r>
        <w:rPr>
          <w:rFonts w:ascii="宋体" w:hAnsi="宋体" w:cs="宋体"/>
          <w:b/>
          <w:bCs/>
          <w:sz w:val="24"/>
          <w:szCs w:val="24"/>
        </w:rPr>
        <w:t>7</w:t>
      </w:r>
      <w:r>
        <w:rPr>
          <w:rFonts w:hint="eastAsia" w:ascii="宋体" w:hAnsi="宋体" w:cs="宋体"/>
          <w:b/>
          <w:bCs/>
          <w:sz w:val="24"/>
          <w:szCs w:val="24"/>
        </w:rPr>
        <w:t>、磋商响应报价表</w:t>
      </w:r>
    </w:p>
    <w:p>
      <w:pPr>
        <w:spacing w:line="360" w:lineRule="auto"/>
        <w:ind w:firstLine="241" w:firstLineChars="100"/>
        <w:textAlignment w:val="baseline"/>
        <w:rPr>
          <w:rFonts w:ascii="宋体" w:cs="Times New Roman"/>
          <w:b/>
          <w:bCs/>
          <w:sz w:val="24"/>
          <w:szCs w:val="24"/>
        </w:rPr>
      </w:pPr>
      <w:r>
        <w:rPr>
          <w:rFonts w:hint="eastAsia" w:ascii="宋体" w:hAnsi="宋体" w:cs="宋体"/>
          <w:b/>
          <w:bCs/>
          <w:sz w:val="24"/>
          <w:szCs w:val="24"/>
        </w:rPr>
        <w:t>项目名称：</w:t>
      </w:r>
      <w:r>
        <w:rPr>
          <w:rFonts w:hint="eastAsia" w:ascii="宋体" w:hAnsi="宋体" w:cs="宋体"/>
          <w:sz w:val="24"/>
          <w:szCs w:val="24"/>
        </w:rPr>
        <w:t>南通市第三人民医院招标控制价编制及审核、工程结算审核工作咨询服务项目</w:t>
      </w:r>
    </w:p>
    <w:tbl>
      <w:tblPr>
        <w:tblStyle w:val="1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bottom w:val="single" w:color="auto" w:sz="4" w:space="0"/>
              <w:right w:val="single" w:color="auto" w:sz="4" w:space="0"/>
            </w:tcBorders>
            <w:vAlign w:val="center"/>
          </w:tcPr>
          <w:p>
            <w:pPr>
              <w:spacing w:line="360" w:lineRule="auto"/>
              <w:textAlignment w:val="baseline"/>
              <w:rPr>
                <w:rFonts w:ascii="宋体" w:cs="Times New Roman"/>
                <w:b/>
                <w:bCs/>
                <w:sz w:val="24"/>
                <w:szCs w:val="24"/>
              </w:rPr>
            </w:pPr>
            <w:r>
              <w:rPr>
                <w:rFonts w:hint="eastAsia" w:ascii="宋体" w:hAnsi="宋体" w:cs="宋体"/>
                <w:b/>
                <w:bCs/>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cs="Times New Roman"/>
                <w:b/>
                <w:bCs/>
                <w:sz w:val="24"/>
                <w:szCs w:val="24"/>
              </w:rPr>
            </w:pPr>
            <w:r>
              <w:rPr>
                <w:rFonts w:hint="eastAsia" w:ascii="宋体" w:hAnsi="宋体" w:cs="宋体"/>
                <w:b/>
                <w:bCs/>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cs="Times New Roman"/>
                <w:b/>
                <w:bCs/>
                <w:sz w:val="24"/>
                <w:szCs w:val="24"/>
              </w:rPr>
            </w:pPr>
            <w:r>
              <w:rPr>
                <w:rFonts w:hint="eastAsia" w:ascii="宋体" w:hAnsi="宋体" w:cs="宋体"/>
                <w:b/>
                <w:bCs/>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cs="Times New Roman"/>
                <w:b/>
                <w:bCs/>
                <w:sz w:val="24"/>
                <w:szCs w:val="24"/>
              </w:rPr>
            </w:pPr>
            <w:r>
              <w:rPr>
                <w:rFonts w:hint="eastAsia" w:ascii="宋体" w:hAnsi="宋体" w:cs="宋体"/>
                <w:b/>
                <w:bCs/>
                <w:sz w:val="24"/>
                <w:szCs w:val="24"/>
              </w:rPr>
              <w:t>磋商报价</w:t>
            </w:r>
          </w:p>
        </w:tc>
        <w:tc>
          <w:tcPr>
            <w:tcW w:w="806" w:type="dxa"/>
            <w:tcBorders>
              <w:top w:val="single" w:color="auto" w:sz="4" w:space="0"/>
              <w:left w:val="single" w:color="auto" w:sz="4" w:space="0"/>
              <w:bottom w:val="single" w:color="auto" w:sz="4" w:space="0"/>
            </w:tcBorders>
            <w:vAlign w:val="center"/>
          </w:tcPr>
          <w:p>
            <w:pPr>
              <w:spacing w:line="360" w:lineRule="auto"/>
              <w:jc w:val="center"/>
              <w:textAlignment w:val="baseline"/>
              <w:rPr>
                <w:rFonts w:ascii="宋体" w:cs="Times New Roman"/>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bottom w:val="single" w:color="auto" w:sz="4" w:space="0"/>
              <w:right w:val="single" w:color="auto" w:sz="4" w:space="0"/>
            </w:tcBorders>
            <w:vAlign w:val="center"/>
          </w:tcPr>
          <w:p>
            <w:pPr>
              <w:spacing w:line="360" w:lineRule="auto"/>
              <w:textAlignment w:val="baseline"/>
              <w:rPr>
                <w:rFonts w:ascii="宋体" w:hAnsi="宋体" w:cs="宋体"/>
                <w:sz w:val="24"/>
                <w:szCs w:val="24"/>
              </w:rPr>
            </w:pPr>
            <w:r>
              <w:rPr>
                <w:rFonts w:ascii="宋体" w:hAnsi="宋体" w:cs="宋体"/>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宋体" w:cs="Times New Roman"/>
                <w:b/>
                <w:bCs/>
                <w:sz w:val="20"/>
                <w:szCs w:val="20"/>
              </w:rPr>
            </w:pPr>
            <w:r>
              <w:rPr>
                <w:rFonts w:hint="eastAsia" w:ascii="宋体" w:hAnsi="宋体" w:cs="宋体"/>
                <w:b/>
                <w:bCs/>
                <w:sz w:val="22"/>
                <w:szCs w:val="22"/>
              </w:rPr>
              <w:t>南通市第三人民医院招标控制价编制及审核、工程结算审核工作咨询服务项目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cs="Times New Roman"/>
                <w:sz w:val="24"/>
                <w:szCs w:val="24"/>
              </w:rPr>
            </w:pPr>
            <w:r>
              <w:rPr>
                <w:rFonts w:hint="eastAsia" w:ascii="宋体" w:hAnsi="宋体" w:cs="宋体"/>
                <w:sz w:val="24"/>
                <w:szCs w:val="24"/>
              </w:rPr>
              <w:t>首次报价</w:t>
            </w:r>
          </w:p>
        </w:tc>
        <w:tc>
          <w:tcPr>
            <w:tcW w:w="3855" w:type="dxa"/>
            <w:tcBorders>
              <w:top w:val="single" w:color="auto" w:sz="4" w:space="0"/>
              <w:left w:val="single" w:color="auto" w:sz="4" w:space="0"/>
              <w:bottom w:val="single" w:color="auto" w:sz="4" w:space="0"/>
              <w:right w:val="single" w:color="auto" w:sz="4" w:space="0"/>
            </w:tcBorders>
            <w:vAlign w:val="center"/>
          </w:tcPr>
          <w:p>
            <w:pPr>
              <w:pStyle w:val="6"/>
              <w:ind w:firstLine="0"/>
              <w:rPr>
                <w:rFonts w:ascii="宋体" w:hAnsi="宋体" w:eastAsia="宋体" w:cs="Times New Roman"/>
                <w:sz w:val="24"/>
                <w:szCs w:val="24"/>
              </w:rPr>
            </w:pPr>
            <w:r>
              <w:rPr>
                <w:rFonts w:hint="eastAsia" w:ascii="宋体" w:hAnsi="宋体" w:eastAsia="宋体" w:cs="宋体"/>
                <w:sz w:val="28"/>
                <w:szCs w:val="28"/>
              </w:rPr>
              <w:t>参照苏价服【</w:t>
            </w:r>
            <w:r>
              <w:rPr>
                <w:rFonts w:ascii="宋体" w:hAnsi="宋体" w:eastAsia="宋体" w:cs="宋体"/>
                <w:sz w:val="28"/>
                <w:szCs w:val="28"/>
              </w:rPr>
              <w:t>2014</w:t>
            </w:r>
            <w:r>
              <w:rPr>
                <w:rFonts w:hint="eastAsia" w:ascii="宋体" w:hAnsi="宋体" w:eastAsia="宋体" w:cs="宋体"/>
                <w:sz w:val="28"/>
                <w:szCs w:val="28"/>
              </w:rPr>
              <w:t>】</w:t>
            </w:r>
            <w:r>
              <w:rPr>
                <w:rFonts w:ascii="宋体" w:hAnsi="宋体" w:eastAsia="宋体" w:cs="宋体"/>
                <w:sz w:val="28"/>
                <w:szCs w:val="28"/>
              </w:rPr>
              <w:t>383</w:t>
            </w:r>
            <w:r>
              <w:rPr>
                <w:rFonts w:hint="eastAsia" w:ascii="宋体" w:hAnsi="宋体" w:eastAsia="宋体" w:cs="宋体"/>
                <w:sz w:val="28"/>
                <w:szCs w:val="28"/>
              </w:rPr>
              <w:t>号文规定标准</w:t>
            </w:r>
            <w:r>
              <w:rPr>
                <w:rFonts w:ascii="宋体" w:hAnsi="宋体" w:eastAsia="宋体" w:cs="宋体"/>
                <w:sz w:val="28"/>
                <w:szCs w:val="28"/>
              </w:rPr>
              <w:t>*</w:t>
            </w: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tc>
        <w:tc>
          <w:tcPr>
            <w:tcW w:w="806" w:type="dxa"/>
            <w:tcBorders>
              <w:top w:val="single" w:color="auto" w:sz="4" w:space="0"/>
              <w:left w:val="single" w:color="auto" w:sz="4" w:space="0"/>
              <w:bottom w:val="single" w:color="auto" w:sz="4" w:space="0"/>
            </w:tcBorders>
            <w:vAlign w:val="center"/>
          </w:tcPr>
          <w:p>
            <w:pPr>
              <w:spacing w:line="360" w:lineRule="auto"/>
              <w:textAlignment w:val="baseline"/>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bottom w:val="single" w:color="auto" w:sz="4" w:space="0"/>
              <w:right w:val="single" w:color="auto" w:sz="4" w:space="0"/>
            </w:tcBorders>
            <w:vAlign w:val="center"/>
          </w:tcPr>
          <w:p>
            <w:pPr>
              <w:spacing w:line="360" w:lineRule="auto"/>
              <w:textAlignment w:val="baseline"/>
              <w:rPr>
                <w:rFonts w:ascii="宋体" w:hAnsi="宋体" w:cs="宋体"/>
                <w:sz w:val="24"/>
                <w:szCs w:val="24"/>
              </w:rPr>
            </w:pPr>
            <w:r>
              <w:rPr>
                <w:rFonts w:ascii="宋体" w:hAnsi="宋体" w:cs="宋体"/>
                <w:sz w:val="24"/>
                <w:szCs w:val="24"/>
              </w:rPr>
              <w:t>2</w:t>
            </w:r>
          </w:p>
        </w:tc>
        <w:tc>
          <w:tcPr>
            <w:tcW w:w="2705" w:type="dxa"/>
            <w:vMerge w:val="continue"/>
            <w:tcBorders>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宋体" w:cs="Times New Roman"/>
                <w:sz w:val="24"/>
                <w:szCs w:val="24"/>
              </w:rPr>
            </w:pPr>
            <w:r>
              <w:rPr>
                <w:rFonts w:hint="eastAsia" w:ascii="宋体" w:hAnsi="宋体" w:cs="宋体"/>
                <w:sz w:val="24"/>
                <w:szCs w:val="24"/>
              </w:rPr>
              <w:t>第二次报价（开标现场填写）</w:t>
            </w:r>
          </w:p>
        </w:tc>
        <w:tc>
          <w:tcPr>
            <w:tcW w:w="3855" w:type="dxa"/>
            <w:tcBorders>
              <w:top w:val="single" w:color="auto" w:sz="4" w:space="0"/>
              <w:left w:val="single" w:color="auto" w:sz="4" w:space="0"/>
              <w:bottom w:val="single" w:color="auto" w:sz="4" w:space="0"/>
              <w:right w:val="single" w:color="auto" w:sz="4" w:space="0"/>
            </w:tcBorders>
          </w:tcPr>
          <w:p>
            <w:pPr>
              <w:rPr>
                <w:rFonts w:ascii="宋体" w:cs="Times New Roman"/>
              </w:rPr>
            </w:pPr>
            <w:r>
              <w:rPr>
                <w:rFonts w:hint="eastAsia" w:ascii="宋体" w:hAnsi="宋体" w:cs="宋体"/>
                <w:sz w:val="28"/>
                <w:szCs w:val="28"/>
              </w:rPr>
              <w:t>参照苏价服【</w:t>
            </w:r>
            <w:r>
              <w:rPr>
                <w:rFonts w:ascii="宋体" w:hAnsi="宋体" w:cs="宋体"/>
                <w:sz w:val="28"/>
                <w:szCs w:val="28"/>
              </w:rPr>
              <w:t>2014</w:t>
            </w:r>
            <w:r>
              <w:rPr>
                <w:rFonts w:hint="eastAsia" w:ascii="宋体" w:hAnsi="宋体" w:cs="宋体"/>
                <w:sz w:val="28"/>
                <w:szCs w:val="28"/>
              </w:rPr>
              <w:t>】</w:t>
            </w:r>
            <w:r>
              <w:rPr>
                <w:rFonts w:ascii="宋体" w:hAnsi="宋体" w:cs="宋体"/>
                <w:sz w:val="28"/>
                <w:szCs w:val="28"/>
              </w:rPr>
              <w:t>383</w:t>
            </w:r>
            <w:r>
              <w:rPr>
                <w:rFonts w:hint="eastAsia" w:ascii="宋体" w:hAnsi="宋体" w:cs="宋体"/>
                <w:sz w:val="28"/>
                <w:szCs w:val="28"/>
              </w:rPr>
              <w:t>号文规定标准</w:t>
            </w:r>
            <w:r>
              <w:rPr>
                <w:rFonts w:ascii="宋体" w:hAnsi="宋体" w:cs="宋体"/>
                <w:sz w:val="28"/>
                <w:szCs w:val="28"/>
              </w:rPr>
              <w:t>*</w:t>
            </w: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u w:val="single"/>
              </w:rPr>
              <w:t xml:space="preserve">     %</w:t>
            </w:r>
            <w:r>
              <w:rPr>
                <w:rFonts w:hint="eastAsia" w:ascii="宋体" w:hAnsi="宋体" w:cs="宋体"/>
                <w:sz w:val="28"/>
                <w:szCs w:val="28"/>
              </w:rPr>
              <w:t>）。</w:t>
            </w:r>
          </w:p>
        </w:tc>
        <w:tc>
          <w:tcPr>
            <w:tcW w:w="806" w:type="dxa"/>
            <w:tcBorders>
              <w:top w:val="single" w:color="auto" w:sz="4" w:space="0"/>
              <w:left w:val="single" w:color="auto" w:sz="4" w:space="0"/>
              <w:bottom w:val="single" w:color="auto" w:sz="4" w:space="0"/>
            </w:tcBorders>
            <w:vAlign w:val="center"/>
          </w:tcPr>
          <w:p>
            <w:pPr>
              <w:spacing w:line="360" w:lineRule="auto"/>
              <w:textAlignment w:val="baseline"/>
              <w:rPr>
                <w:rFonts w:ascii="宋体" w:cs="Times New Roman"/>
                <w:sz w:val="24"/>
                <w:szCs w:val="24"/>
              </w:rPr>
            </w:pPr>
          </w:p>
        </w:tc>
      </w:tr>
    </w:tbl>
    <w:p>
      <w:pPr>
        <w:spacing w:line="360" w:lineRule="auto"/>
        <w:jc w:val="left"/>
        <w:textAlignment w:val="baseline"/>
        <w:rPr>
          <w:rFonts w:ascii="宋体" w:cs="Times New Roman"/>
          <w:sz w:val="24"/>
          <w:szCs w:val="24"/>
        </w:rPr>
      </w:pPr>
      <w:r>
        <w:rPr>
          <w:rFonts w:hint="eastAsia" w:ascii="宋体" w:hAnsi="宋体" w:cs="宋体"/>
          <w:sz w:val="24"/>
          <w:szCs w:val="24"/>
        </w:rPr>
        <w:t>注：下浮率按百分比形式报列，保留整数位，如：</w:t>
      </w:r>
      <w:r>
        <w:rPr>
          <w:rFonts w:ascii="宋体" w:hAnsi="宋体" w:cs="宋体"/>
          <w:sz w:val="24"/>
          <w:szCs w:val="24"/>
        </w:rPr>
        <w:t>30%</w:t>
      </w:r>
      <w:r>
        <w:rPr>
          <w:rFonts w:hint="eastAsia" w:ascii="宋体" w:hAnsi="宋体" w:cs="宋体"/>
          <w:sz w:val="24"/>
          <w:szCs w:val="24"/>
        </w:rPr>
        <w:t>、</w:t>
      </w:r>
      <w:r>
        <w:rPr>
          <w:rFonts w:ascii="宋体" w:hAnsi="宋体" w:cs="宋体"/>
          <w:sz w:val="24"/>
          <w:szCs w:val="24"/>
        </w:rPr>
        <w:t>40%</w:t>
      </w:r>
      <w:r>
        <w:rPr>
          <w:rFonts w:hint="eastAsia" w:ascii="宋体" w:hAnsi="宋体" w:cs="宋体"/>
          <w:sz w:val="24"/>
          <w:szCs w:val="24"/>
        </w:rPr>
        <w:t>。</w:t>
      </w:r>
    </w:p>
    <w:p>
      <w:pPr>
        <w:spacing w:line="360" w:lineRule="auto"/>
        <w:ind w:firstLine="2640" w:firstLineChars="1100"/>
        <w:textAlignment w:val="baseline"/>
        <w:rPr>
          <w:rFonts w:ascii="宋体" w:cs="Times New Roman"/>
          <w:sz w:val="24"/>
          <w:szCs w:val="24"/>
        </w:rPr>
      </w:pPr>
    </w:p>
    <w:p>
      <w:pPr>
        <w:spacing w:line="360" w:lineRule="auto"/>
        <w:ind w:firstLine="2640" w:firstLineChars="1100"/>
        <w:textAlignment w:val="baseline"/>
        <w:rPr>
          <w:rFonts w:ascii="宋体" w:cs="Times New Roman"/>
          <w:sz w:val="24"/>
          <w:szCs w:val="24"/>
        </w:rPr>
      </w:pPr>
      <w:r>
        <w:rPr>
          <w:rFonts w:hint="eastAsia" w:ascii="宋体" w:hAnsi="宋体" w:cs="宋体"/>
          <w:sz w:val="24"/>
          <w:szCs w:val="24"/>
        </w:rPr>
        <w:t>投标单位：（加盖公章）</w:t>
      </w:r>
    </w:p>
    <w:p>
      <w:pPr>
        <w:pStyle w:val="2"/>
        <w:rPr>
          <w:rFonts w:ascii="宋体" w:cs="Times New Roman"/>
        </w:rPr>
      </w:pPr>
    </w:p>
    <w:p>
      <w:pPr>
        <w:pStyle w:val="9"/>
        <w:spacing w:line="360" w:lineRule="auto"/>
        <w:ind w:firstLine="1377" w:firstLineChars="574"/>
        <w:jc w:val="left"/>
        <w:textAlignment w:val="baseline"/>
        <w:rPr>
          <w:rFonts w:ascii="宋体" w:cs="Times New Roman"/>
          <w:sz w:val="24"/>
          <w:szCs w:val="24"/>
        </w:rPr>
      </w:pPr>
      <w:r>
        <w:rPr>
          <w:rFonts w:hint="eastAsia" w:ascii="宋体" w:hAnsi="宋体" w:cs="宋体"/>
          <w:sz w:val="24"/>
          <w:szCs w:val="24"/>
        </w:rPr>
        <w:t>法定代表人或被授权人：（签字或盖章）</w:t>
      </w:r>
    </w:p>
    <w:p>
      <w:pPr>
        <w:pStyle w:val="9"/>
        <w:spacing w:line="360" w:lineRule="auto"/>
        <w:ind w:firstLine="5400" w:firstLineChars="2250"/>
        <w:jc w:val="left"/>
        <w:textAlignment w:val="baseline"/>
        <w:rPr>
          <w:rFonts w:ascii="宋体" w:cs="Times New Roman"/>
          <w:sz w:val="24"/>
          <w:szCs w:val="24"/>
        </w:rPr>
      </w:pPr>
    </w:p>
    <w:p>
      <w:pPr>
        <w:pStyle w:val="9"/>
        <w:spacing w:line="360" w:lineRule="auto"/>
        <w:ind w:firstLine="5400" w:firstLineChars="2250"/>
        <w:jc w:val="left"/>
        <w:textAlignment w:val="baseline"/>
        <w:rPr>
          <w:rFonts w:ascii="宋体" w:cs="Times New Roman"/>
          <w:b/>
          <w:bCs/>
          <w:sz w:val="24"/>
          <w:szCs w:val="24"/>
        </w:rPr>
      </w:pP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pStyle w:val="9"/>
        <w:spacing w:line="360" w:lineRule="auto"/>
        <w:textAlignment w:val="baseline"/>
        <w:rPr>
          <w:rFonts w:ascii="宋体" w:cs="Times New Roman"/>
          <w:b/>
          <w:bCs/>
          <w:sz w:val="24"/>
          <w:szCs w:val="24"/>
        </w:rPr>
      </w:pPr>
    </w:p>
    <w:p>
      <w:pPr>
        <w:spacing w:line="360" w:lineRule="auto"/>
        <w:textAlignment w:val="baseline"/>
        <w:rPr>
          <w:rFonts w:ascii="Times New Roman" w:hAnsi="Times New Roman" w:cs="Times New Roman"/>
          <w:b/>
          <w:bCs/>
          <w:sz w:val="24"/>
          <w:szCs w:val="24"/>
        </w:rPr>
      </w:pPr>
    </w:p>
    <w:p>
      <w:pPr>
        <w:spacing w:line="360" w:lineRule="auto"/>
        <w:textAlignment w:val="baseline"/>
        <w:rPr>
          <w:rFonts w:ascii="Times New Roman" w:hAnsi="Times New Roman" w:cs="Times New Roman"/>
          <w:b/>
          <w:bCs/>
          <w:sz w:val="24"/>
          <w:szCs w:val="24"/>
        </w:rPr>
      </w:pPr>
      <w:r>
        <w:rPr>
          <w:rFonts w:hint="eastAsia" w:ascii="Times New Roman" w:hAnsi="Times New Roman" w:cs="宋体"/>
          <w:b/>
          <w:bCs/>
          <w:sz w:val="24"/>
          <w:szCs w:val="24"/>
        </w:rPr>
        <w:t>注：</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1</w:t>
      </w:r>
      <w:r>
        <w:rPr>
          <w:rFonts w:hint="eastAsia" w:ascii="Times New Roman" w:hAnsi="Times New Roman" w:cs="宋体"/>
          <w:sz w:val="24"/>
          <w:szCs w:val="24"/>
        </w:rPr>
        <w:t>）本表为格式表，不得自行改动，必须提供。</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w:t>
      </w:r>
      <w:r>
        <w:rPr>
          <w:rFonts w:ascii="Times New Roman" w:hAnsi="Times New Roman" w:cs="Times New Roman"/>
          <w:b/>
          <w:bCs/>
          <w:sz w:val="24"/>
          <w:szCs w:val="24"/>
        </w:rPr>
        <w:t>2</w:t>
      </w:r>
      <w:r>
        <w:rPr>
          <w:rFonts w:hint="eastAsia" w:ascii="Times New Roman" w:hAnsi="Times New Roman" w:cs="宋体"/>
          <w:b/>
          <w:bCs/>
          <w:sz w:val="24"/>
          <w:szCs w:val="24"/>
        </w:rPr>
        <w:t>）第二次报价将在开标现场填写。</w:t>
      </w:r>
    </w:p>
    <w:p>
      <w:pPr>
        <w:widowControl/>
        <w:jc w:val="left"/>
        <w:rPr>
          <w:rFonts w:ascii="Times New Roman" w:hAnsi="Times New Roman" w:cs="Times New Roman"/>
          <w:b/>
          <w:bCs/>
          <w:sz w:val="24"/>
          <w:szCs w:val="24"/>
        </w:rPr>
      </w:pPr>
    </w:p>
    <w:sectPr>
      <w:footerReference r:id="rId3" w:type="default"/>
      <w:pgSz w:w="11906" w:h="16838"/>
      <w:pgMar w:top="1418" w:right="1588" w:bottom="1418" w:left="1588" w:header="851" w:footer="850"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fldChar w:fldCharType="begin"/>
    </w:r>
    <w:r>
      <w:instrText xml:space="preserve"> PAGE   \* MERGEFORMAT </w:instrText>
    </w:r>
    <w:r>
      <w:fldChar w:fldCharType="separate"/>
    </w:r>
    <w:r>
      <w:rPr>
        <w:lang w:val="zh-CN"/>
      </w:rPr>
      <w:t>17</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ZjM1NWE4MTEzYjQ5ZmY4NjQ3MWMwMmI3YWZlMWQifQ=="/>
  </w:docVars>
  <w:rsids>
    <w:rsidRoot w:val="0042773D"/>
    <w:rsid w:val="00001016"/>
    <w:rsid w:val="00001162"/>
    <w:rsid w:val="0000151A"/>
    <w:rsid w:val="00002997"/>
    <w:rsid w:val="00005621"/>
    <w:rsid w:val="00007117"/>
    <w:rsid w:val="000105F3"/>
    <w:rsid w:val="000116CF"/>
    <w:rsid w:val="00011718"/>
    <w:rsid w:val="00020AB9"/>
    <w:rsid w:val="00030347"/>
    <w:rsid w:val="00030656"/>
    <w:rsid w:val="00033B51"/>
    <w:rsid w:val="00034B3F"/>
    <w:rsid w:val="000370F3"/>
    <w:rsid w:val="00042E68"/>
    <w:rsid w:val="000445FB"/>
    <w:rsid w:val="00045AD0"/>
    <w:rsid w:val="00045B8C"/>
    <w:rsid w:val="0006115F"/>
    <w:rsid w:val="00062F66"/>
    <w:rsid w:val="000633EC"/>
    <w:rsid w:val="00066F50"/>
    <w:rsid w:val="0007689C"/>
    <w:rsid w:val="00076924"/>
    <w:rsid w:val="00076D60"/>
    <w:rsid w:val="00086534"/>
    <w:rsid w:val="000901A4"/>
    <w:rsid w:val="0009698F"/>
    <w:rsid w:val="000B6C99"/>
    <w:rsid w:val="000C6440"/>
    <w:rsid w:val="000D3147"/>
    <w:rsid w:val="000D7335"/>
    <w:rsid w:val="000E2EB7"/>
    <w:rsid w:val="000F0E95"/>
    <w:rsid w:val="000F3376"/>
    <w:rsid w:val="000F3E59"/>
    <w:rsid w:val="000F6A22"/>
    <w:rsid w:val="000F7404"/>
    <w:rsid w:val="00111B21"/>
    <w:rsid w:val="00111BAA"/>
    <w:rsid w:val="00116B41"/>
    <w:rsid w:val="00120200"/>
    <w:rsid w:val="00131DE6"/>
    <w:rsid w:val="001503AA"/>
    <w:rsid w:val="00154FF0"/>
    <w:rsid w:val="0015616E"/>
    <w:rsid w:val="00160FC5"/>
    <w:rsid w:val="0018047F"/>
    <w:rsid w:val="00183E73"/>
    <w:rsid w:val="0019545C"/>
    <w:rsid w:val="001958DD"/>
    <w:rsid w:val="0019651E"/>
    <w:rsid w:val="001A645B"/>
    <w:rsid w:val="001A75C8"/>
    <w:rsid w:val="001B01E7"/>
    <w:rsid w:val="001B56D8"/>
    <w:rsid w:val="001B5FF7"/>
    <w:rsid w:val="001B7B5D"/>
    <w:rsid w:val="001C2FF9"/>
    <w:rsid w:val="001D3F6D"/>
    <w:rsid w:val="001D64AD"/>
    <w:rsid w:val="001E26E0"/>
    <w:rsid w:val="001E36AA"/>
    <w:rsid w:val="001F4D5A"/>
    <w:rsid w:val="002034D1"/>
    <w:rsid w:val="00203F3E"/>
    <w:rsid w:val="00205384"/>
    <w:rsid w:val="002063EF"/>
    <w:rsid w:val="002064EC"/>
    <w:rsid w:val="0021439D"/>
    <w:rsid w:val="00215D1F"/>
    <w:rsid w:val="00216B27"/>
    <w:rsid w:val="00220423"/>
    <w:rsid w:val="002219C9"/>
    <w:rsid w:val="00225C90"/>
    <w:rsid w:val="00230D58"/>
    <w:rsid w:val="00231ACD"/>
    <w:rsid w:val="00234A6B"/>
    <w:rsid w:val="0023753A"/>
    <w:rsid w:val="002375BD"/>
    <w:rsid w:val="00240734"/>
    <w:rsid w:val="0024626E"/>
    <w:rsid w:val="002468A6"/>
    <w:rsid w:val="002545F7"/>
    <w:rsid w:val="00255CF4"/>
    <w:rsid w:val="002579E8"/>
    <w:rsid w:val="002707F5"/>
    <w:rsid w:val="00270E80"/>
    <w:rsid w:val="00285BC2"/>
    <w:rsid w:val="00286641"/>
    <w:rsid w:val="002A1341"/>
    <w:rsid w:val="002A702E"/>
    <w:rsid w:val="002A7F71"/>
    <w:rsid w:val="002B6511"/>
    <w:rsid w:val="002B7F90"/>
    <w:rsid w:val="002C01E3"/>
    <w:rsid w:val="002C5FB4"/>
    <w:rsid w:val="002D1C8A"/>
    <w:rsid w:val="002E1BA8"/>
    <w:rsid w:val="002E40A5"/>
    <w:rsid w:val="002F148F"/>
    <w:rsid w:val="002F33C9"/>
    <w:rsid w:val="002F6EFE"/>
    <w:rsid w:val="002F7C52"/>
    <w:rsid w:val="002F7F56"/>
    <w:rsid w:val="00312D4F"/>
    <w:rsid w:val="00312FCC"/>
    <w:rsid w:val="00313E19"/>
    <w:rsid w:val="00331324"/>
    <w:rsid w:val="00331446"/>
    <w:rsid w:val="003340D6"/>
    <w:rsid w:val="00335F5B"/>
    <w:rsid w:val="0033625B"/>
    <w:rsid w:val="00342039"/>
    <w:rsid w:val="00362918"/>
    <w:rsid w:val="00363D22"/>
    <w:rsid w:val="00364AB1"/>
    <w:rsid w:val="003702B5"/>
    <w:rsid w:val="00370501"/>
    <w:rsid w:val="00371DB0"/>
    <w:rsid w:val="00384F42"/>
    <w:rsid w:val="00386246"/>
    <w:rsid w:val="00391727"/>
    <w:rsid w:val="00395E76"/>
    <w:rsid w:val="003A1EDD"/>
    <w:rsid w:val="003A3B0E"/>
    <w:rsid w:val="003A55F0"/>
    <w:rsid w:val="003B1278"/>
    <w:rsid w:val="003B571B"/>
    <w:rsid w:val="003C15BD"/>
    <w:rsid w:val="003C18C2"/>
    <w:rsid w:val="003C3D48"/>
    <w:rsid w:val="003C6028"/>
    <w:rsid w:val="003C6115"/>
    <w:rsid w:val="003D4871"/>
    <w:rsid w:val="003D6A6B"/>
    <w:rsid w:val="003D7838"/>
    <w:rsid w:val="003E584E"/>
    <w:rsid w:val="003E6F50"/>
    <w:rsid w:val="003F2A3F"/>
    <w:rsid w:val="00403407"/>
    <w:rsid w:val="00403F33"/>
    <w:rsid w:val="004069DE"/>
    <w:rsid w:val="00414EA1"/>
    <w:rsid w:val="004254FC"/>
    <w:rsid w:val="00427651"/>
    <w:rsid w:val="0042773D"/>
    <w:rsid w:val="00432BBA"/>
    <w:rsid w:val="004413CE"/>
    <w:rsid w:val="00443088"/>
    <w:rsid w:val="00447FFB"/>
    <w:rsid w:val="004527FC"/>
    <w:rsid w:val="00454AC9"/>
    <w:rsid w:val="0046271D"/>
    <w:rsid w:val="004655C2"/>
    <w:rsid w:val="0047401F"/>
    <w:rsid w:val="00475EA1"/>
    <w:rsid w:val="00476A54"/>
    <w:rsid w:val="004867BB"/>
    <w:rsid w:val="00486ED2"/>
    <w:rsid w:val="00496959"/>
    <w:rsid w:val="004A0491"/>
    <w:rsid w:val="004A1EFB"/>
    <w:rsid w:val="004A25F7"/>
    <w:rsid w:val="004A2D24"/>
    <w:rsid w:val="004A2F36"/>
    <w:rsid w:val="004B122F"/>
    <w:rsid w:val="004B442B"/>
    <w:rsid w:val="004B496E"/>
    <w:rsid w:val="004D117D"/>
    <w:rsid w:val="004D2194"/>
    <w:rsid w:val="004D5E42"/>
    <w:rsid w:val="004E2596"/>
    <w:rsid w:val="004E5C5C"/>
    <w:rsid w:val="004E70B8"/>
    <w:rsid w:val="004F0A48"/>
    <w:rsid w:val="004F55FB"/>
    <w:rsid w:val="00502D83"/>
    <w:rsid w:val="005078ED"/>
    <w:rsid w:val="00507EAA"/>
    <w:rsid w:val="00510986"/>
    <w:rsid w:val="005113A5"/>
    <w:rsid w:val="00511CD5"/>
    <w:rsid w:val="00515D07"/>
    <w:rsid w:val="00517321"/>
    <w:rsid w:val="005334AC"/>
    <w:rsid w:val="00553DFF"/>
    <w:rsid w:val="00555C4D"/>
    <w:rsid w:val="005621AD"/>
    <w:rsid w:val="00576289"/>
    <w:rsid w:val="00577FE4"/>
    <w:rsid w:val="005841A4"/>
    <w:rsid w:val="00585028"/>
    <w:rsid w:val="00587CD4"/>
    <w:rsid w:val="005A31EB"/>
    <w:rsid w:val="005B24D0"/>
    <w:rsid w:val="005B7851"/>
    <w:rsid w:val="005C3634"/>
    <w:rsid w:val="005C5B61"/>
    <w:rsid w:val="005D1282"/>
    <w:rsid w:val="005D1CB5"/>
    <w:rsid w:val="005D73C6"/>
    <w:rsid w:val="005E2EBD"/>
    <w:rsid w:val="005F7165"/>
    <w:rsid w:val="00603E35"/>
    <w:rsid w:val="00606395"/>
    <w:rsid w:val="00625A2E"/>
    <w:rsid w:val="00633A81"/>
    <w:rsid w:val="0063770C"/>
    <w:rsid w:val="00643B8B"/>
    <w:rsid w:val="00645528"/>
    <w:rsid w:val="00650E3E"/>
    <w:rsid w:val="00656A8E"/>
    <w:rsid w:val="00663AED"/>
    <w:rsid w:val="00665A3F"/>
    <w:rsid w:val="006726E5"/>
    <w:rsid w:val="00677E44"/>
    <w:rsid w:val="006902A0"/>
    <w:rsid w:val="00693857"/>
    <w:rsid w:val="00694A25"/>
    <w:rsid w:val="00694D70"/>
    <w:rsid w:val="00695A9F"/>
    <w:rsid w:val="006A08E6"/>
    <w:rsid w:val="006A5E64"/>
    <w:rsid w:val="006A7587"/>
    <w:rsid w:val="006B25AB"/>
    <w:rsid w:val="006B335C"/>
    <w:rsid w:val="006B4338"/>
    <w:rsid w:val="006C3414"/>
    <w:rsid w:val="006C3551"/>
    <w:rsid w:val="006C59BF"/>
    <w:rsid w:val="006D3A4D"/>
    <w:rsid w:val="006D5C68"/>
    <w:rsid w:val="006D69C1"/>
    <w:rsid w:val="006D7BE8"/>
    <w:rsid w:val="006F1B98"/>
    <w:rsid w:val="006F36AE"/>
    <w:rsid w:val="00701E87"/>
    <w:rsid w:val="00705238"/>
    <w:rsid w:val="00705389"/>
    <w:rsid w:val="00707BB5"/>
    <w:rsid w:val="00731221"/>
    <w:rsid w:val="00734530"/>
    <w:rsid w:val="007358E2"/>
    <w:rsid w:val="00744D06"/>
    <w:rsid w:val="00766E2A"/>
    <w:rsid w:val="0077451C"/>
    <w:rsid w:val="00782704"/>
    <w:rsid w:val="00785C7E"/>
    <w:rsid w:val="007A1793"/>
    <w:rsid w:val="007A2465"/>
    <w:rsid w:val="007A2952"/>
    <w:rsid w:val="007B4692"/>
    <w:rsid w:val="007B5ED6"/>
    <w:rsid w:val="007B68EC"/>
    <w:rsid w:val="007B7436"/>
    <w:rsid w:val="007C3289"/>
    <w:rsid w:val="007C52C4"/>
    <w:rsid w:val="007D166D"/>
    <w:rsid w:val="007D447F"/>
    <w:rsid w:val="007D4AD9"/>
    <w:rsid w:val="007D501E"/>
    <w:rsid w:val="007D7533"/>
    <w:rsid w:val="007E4882"/>
    <w:rsid w:val="007E7DFE"/>
    <w:rsid w:val="007F2C74"/>
    <w:rsid w:val="007F782E"/>
    <w:rsid w:val="008031E4"/>
    <w:rsid w:val="008135CA"/>
    <w:rsid w:val="0082282D"/>
    <w:rsid w:val="008324DA"/>
    <w:rsid w:val="00842CE0"/>
    <w:rsid w:val="008550A6"/>
    <w:rsid w:val="00860462"/>
    <w:rsid w:val="0087229D"/>
    <w:rsid w:val="008727CA"/>
    <w:rsid w:val="008740E6"/>
    <w:rsid w:val="0087436E"/>
    <w:rsid w:val="008760EB"/>
    <w:rsid w:val="00877678"/>
    <w:rsid w:val="00881F22"/>
    <w:rsid w:val="00882F8C"/>
    <w:rsid w:val="00884AF5"/>
    <w:rsid w:val="00885DF3"/>
    <w:rsid w:val="00891163"/>
    <w:rsid w:val="008913C5"/>
    <w:rsid w:val="008B1772"/>
    <w:rsid w:val="008B53C9"/>
    <w:rsid w:val="008B7366"/>
    <w:rsid w:val="008C0188"/>
    <w:rsid w:val="008D208D"/>
    <w:rsid w:val="008D3F59"/>
    <w:rsid w:val="008D5C8C"/>
    <w:rsid w:val="008D6244"/>
    <w:rsid w:val="008D7EBD"/>
    <w:rsid w:val="008E1CB2"/>
    <w:rsid w:val="008F46B1"/>
    <w:rsid w:val="008F79F2"/>
    <w:rsid w:val="00900BAE"/>
    <w:rsid w:val="00905A18"/>
    <w:rsid w:val="00907260"/>
    <w:rsid w:val="00910A22"/>
    <w:rsid w:val="00911A50"/>
    <w:rsid w:val="00916C89"/>
    <w:rsid w:val="00920F80"/>
    <w:rsid w:val="009250DE"/>
    <w:rsid w:val="00927F05"/>
    <w:rsid w:val="009317AE"/>
    <w:rsid w:val="00931FA1"/>
    <w:rsid w:val="0094091D"/>
    <w:rsid w:val="0094400C"/>
    <w:rsid w:val="00945E72"/>
    <w:rsid w:val="00951C5B"/>
    <w:rsid w:val="00951E5B"/>
    <w:rsid w:val="00952946"/>
    <w:rsid w:val="00955D27"/>
    <w:rsid w:val="00956F45"/>
    <w:rsid w:val="00957A11"/>
    <w:rsid w:val="00961C64"/>
    <w:rsid w:val="009649DE"/>
    <w:rsid w:val="009666CF"/>
    <w:rsid w:val="00967875"/>
    <w:rsid w:val="00975BB0"/>
    <w:rsid w:val="009823DF"/>
    <w:rsid w:val="009948AB"/>
    <w:rsid w:val="0099591F"/>
    <w:rsid w:val="00995B0A"/>
    <w:rsid w:val="009A4780"/>
    <w:rsid w:val="009A4AAF"/>
    <w:rsid w:val="009A70B6"/>
    <w:rsid w:val="009B2FFF"/>
    <w:rsid w:val="009B5458"/>
    <w:rsid w:val="009C0D88"/>
    <w:rsid w:val="009D0FF1"/>
    <w:rsid w:val="009D17F8"/>
    <w:rsid w:val="009D2D3C"/>
    <w:rsid w:val="009E442E"/>
    <w:rsid w:val="009F3280"/>
    <w:rsid w:val="009F4F82"/>
    <w:rsid w:val="00A00280"/>
    <w:rsid w:val="00A01F70"/>
    <w:rsid w:val="00A03C6E"/>
    <w:rsid w:val="00A04825"/>
    <w:rsid w:val="00A1249C"/>
    <w:rsid w:val="00A31183"/>
    <w:rsid w:val="00A36E31"/>
    <w:rsid w:val="00A442A6"/>
    <w:rsid w:val="00A46B05"/>
    <w:rsid w:val="00A511A0"/>
    <w:rsid w:val="00A616A8"/>
    <w:rsid w:val="00A73083"/>
    <w:rsid w:val="00A775B1"/>
    <w:rsid w:val="00A95655"/>
    <w:rsid w:val="00AA359B"/>
    <w:rsid w:val="00AA4F63"/>
    <w:rsid w:val="00AA53A1"/>
    <w:rsid w:val="00AB3858"/>
    <w:rsid w:val="00AB397A"/>
    <w:rsid w:val="00AB48B6"/>
    <w:rsid w:val="00AC1356"/>
    <w:rsid w:val="00AC167D"/>
    <w:rsid w:val="00AD0D5B"/>
    <w:rsid w:val="00AD0E54"/>
    <w:rsid w:val="00AD3644"/>
    <w:rsid w:val="00AD4534"/>
    <w:rsid w:val="00AD758F"/>
    <w:rsid w:val="00AE2E79"/>
    <w:rsid w:val="00AF2F11"/>
    <w:rsid w:val="00AF67B7"/>
    <w:rsid w:val="00B015B5"/>
    <w:rsid w:val="00B01FAB"/>
    <w:rsid w:val="00B0521F"/>
    <w:rsid w:val="00B06015"/>
    <w:rsid w:val="00B129DF"/>
    <w:rsid w:val="00B1621D"/>
    <w:rsid w:val="00B21BF5"/>
    <w:rsid w:val="00B227FA"/>
    <w:rsid w:val="00B24F83"/>
    <w:rsid w:val="00B269D0"/>
    <w:rsid w:val="00B32609"/>
    <w:rsid w:val="00B36A38"/>
    <w:rsid w:val="00B50963"/>
    <w:rsid w:val="00B5131F"/>
    <w:rsid w:val="00B523EC"/>
    <w:rsid w:val="00B54D9A"/>
    <w:rsid w:val="00B7107E"/>
    <w:rsid w:val="00B72885"/>
    <w:rsid w:val="00B76D85"/>
    <w:rsid w:val="00B80184"/>
    <w:rsid w:val="00B97CDB"/>
    <w:rsid w:val="00BA0DE5"/>
    <w:rsid w:val="00BA502C"/>
    <w:rsid w:val="00BA742D"/>
    <w:rsid w:val="00BB2B28"/>
    <w:rsid w:val="00BB48A3"/>
    <w:rsid w:val="00BB7BEF"/>
    <w:rsid w:val="00BC3246"/>
    <w:rsid w:val="00BC6EEB"/>
    <w:rsid w:val="00BD5E28"/>
    <w:rsid w:val="00BF0401"/>
    <w:rsid w:val="00BF35B6"/>
    <w:rsid w:val="00C02F17"/>
    <w:rsid w:val="00C047C7"/>
    <w:rsid w:val="00C26AF7"/>
    <w:rsid w:val="00C27A15"/>
    <w:rsid w:val="00C63291"/>
    <w:rsid w:val="00C739A6"/>
    <w:rsid w:val="00C74113"/>
    <w:rsid w:val="00C74551"/>
    <w:rsid w:val="00C87961"/>
    <w:rsid w:val="00C87B32"/>
    <w:rsid w:val="00C96480"/>
    <w:rsid w:val="00C96A7A"/>
    <w:rsid w:val="00C96C7C"/>
    <w:rsid w:val="00CA125B"/>
    <w:rsid w:val="00CA3A6E"/>
    <w:rsid w:val="00CB2559"/>
    <w:rsid w:val="00CC126F"/>
    <w:rsid w:val="00CC6A4A"/>
    <w:rsid w:val="00CC7436"/>
    <w:rsid w:val="00CD1E8F"/>
    <w:rsid w:val="00CD4F92"/>
    <w:rsid w:val="00CF0C61"/>
    <w:rsid w:val="00CF19FE"/>
    <w:rsid w:val="00CF4BAE"/>
    <w:rsid w:val="00CF7B72"/>
    <w:rsid w:val="00D07BEC"/>
    <w:rsid w:val="00D113C6"/>
    <w:rsid w:val="00D1283C"/>
    <w:rsid w:val="00D1458A"/>
    <w:rsid w:val="00D160B0"/>
    <w:rsid w:val="00D259AD"/>
    <w:rsid w:val="00D302D8"/>
    <w:rsid w:val="00D31ACC"/>
    <w:rsid w:val="00D41A59"/>
    <w:rsid w:val="00D422E6"/>
    <w:rsid w:val="00D45467"/>
    <w:rsid w:val="00D520F7"/>
    <w:rsid w:val="00D5330B"/>
    <w:rsid w:val="00D56A14"/>
    <w:rsid w:val="00D56C3B"/>
    <w:rsid w:val="00D62A84"/>
    <w:rsid w:val="00D66756"/>
    <w:rsid w:val="00D76AFD"/>
    <w:rsid w:val="00D82A58"/>
    <w:rsid w:val="00D82E87"/>
    <w:rsid w:val="00D838F3"/>
    <w:rsid w:val="00D8401B"/>
    <w:rsid w:val="00D93C52"/>
    <w:rsid w:val="00D977B3"/>
    <w:rsid w:val="00DB6573"/>
    <w:rsid w:val="00DC04E7"/>
    <w:rsid w:val="00DC24D0"/>
    <w:rsid w:val="00DC388A"/>
    <w:rsid w:val="00DC6B6D"/>
    <w:rsid w:val="00DC7ABA"/>
    <w:rsid w:val="00DD1D76"/>
    <w:rsid w:val="00DD5E0B"/>
    <w:rsid w:val="00DE6E87"/>
    <w:rsid w:val="00DE7FE0"/>
    <w:rsid w:val="00DF0CE4"/>
    <w:rsid w:val="00E03D8E"/>
    <w:rsid w:val="00E07EEE"/>
    <w:rsid w:val="00E11158"/>
    <w:rsid w:val="00E2371E"/>
    <w:rsid w:val="00E27373"/>
    <w:rsid w:val="00E52B2B"/>
    <w:rsid w:val="00E779B7"/>
    <w:rsid w:val="00E86D63"/>
    <w:rsid w:val="00E90F14"/>
    <w:rsid w:val="00E91BFC"/>
    <w:rsid w:val="00E91EDF"/>
    <w:rsid w:val="00EA1A90"/>
    <w:rsid w:val="00EA1CD9"/>
    <w:rsid w:val="00EB11F6"/>
    <w:rsid w:val="00EB403B"/>
    <w:rsid w:val="00EC4B5D"/>
    <w:rsid w:val="00ED0CD3"/>
    <w:rsid w:val="00EE1CB6"/>
    <w:rsid w:val="00EF525C"/>
    <w:rsid w:val="00F02280"/>
    <w:rsid w:val="00F04F82"/>
    <w:rsid w:val="00F1322E"/>
    <w:rsid w:val="00F16606"/>
    <w:rsid w:val="00F17F27"/>
    <w:rsid w:val="00F31445"/>
    <w:rsid w:val="00F357CB"/>
    <w:rsid w:val="00F440BB"/>
    <w:rsid w:val="00F46C64"/>
    <w:rsid w:val="00F50909"/>
    <w:rsid w:val="00F5137C"/>
    <w:rsid w:val="00F5462E"/>
    <w:rsid w:val="00F608E0"/>
    <w:rsid w:val="00F63B31"/>
    <w:rsid w:val="00F67926"/>
    <w:rsid w:val="00F718DA"/>
    <w:rsid w:val="00F72D5B"/>
    <w:rsid w:val="00F7578F"/>
    <w:rsid w:val="00F803EB"/>
    <w:rsid w:val="00F825EC"/>
    <w:rsid w:val="00F84878"/>
    <w:rsid w:val="00F9647F"/>
    <w:rsid w:val="00F964A0"/>
    <w:rsid w:val="00FA0374"/>
    <w:rsid w:val="00FB003F"/>
    <w:rsid w:val="00FC398C"/>
    <w:rsid w:val="00FC5485"/>
    <w:rsid w:val="00FD3CFD"/>
    <w:rsid w:val="00FD532E"/>
    <w:rsid w:val="00FD737A"/>
    <w:rsid w:val="00FE35B6"/>
    <w:rsid w:val="00FE4879"/>
    <w:rsid w:val="00FF147C"/>
    <w:rsid w:val="00FF3681"/>
    <w:rsid w:val="00FF3C02"/>
    <w:rsid w:val="02FB5C70"/>
    <w:rsid w:val="040536DE"/>
    <w:rsid w:val="04A02078"/>
    <w:rsid w:val="09CF1626"/>
    <w:rsid w:val="0DBE2B84"/>
    <w:rsid w:val="0F1D7169"/>
    <w:rsid w:val="130B7EEE"/>
    <w:rsid w:val="14CE5342"/>
    <w:rsid w:val="15F6320B"/>
    <w:rsid w:val="1D690193"/>
    <w:rsid w:val="20902B53"/>
    <w:rsid w:val="2B0B1774"/>
    <w:rsid w:val="2E797520"/>
    <w:rsid w:val="2EA83DA9"/>
    <w:rsid w:val="2EC25700"/>
    <w:rsid w:val="322E658F"/>
    <w:rsid w:val="3329796B"/>
    <w:rsid w:val="332C1FBD"/>
    <w:rsid w:val="33B77957"/>
    <w:rsid w:val="34700A2F"/>
    <w:rsid w:val="395C5DF2"/>
    <w:rsid w:val="3B675D5A"/>
    <w:rsid w:val="3CF02146"/>
    <w:rsid w:val="424726D6"/>
    <w:rsid w:val="44872504"/>
    <w:rsid w:val="48F6474A"/>
    <w:rsid w:val="4D2F14D8"/>
    <w:rsid w:val="4F702FD7"/>
    <w:rsid w:val="50AB056E"/>
    <w:rsid w:val="52173BDE"/>
    <w:rsid w:val="532C216E"/>
    <w:rsid w:val="54A4596D"/>
    <w:rsid w:val="58247658"/>
    <w:rsid w:val="596D2336"/>
    <w:rsid w:val="5B764FB4"/>
    <w:rsid w:val="5D19126D"/>
    <w:rsid w:val="65827169"/>
    <w:rsid w:val="69DE3FD5"/>
    <w:rsid w:val="712D5BF6"/>
    <w:rsid w:val="714C51EA"/>
    <w:rsid w:val="72BF1288"/>
    <w:rsid w:val="75041948"/>
    <w:rsid w:val="76B02224"/>
    <w:rsid w:val="77BA6C36"/>
    <w:rsid w:val="7A6B788F"/>
    <w:rsid w:val="7A782F98"/>
    <w:rsid w:val="7CC3033B"/>
    <w:rsid w:val="7EFD3971"/>
    <w:rsid w:val="7F527062"/>
    <w:rsid w:val="7F6F03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4"/>
    <w:qFormat/>
    <w:uiPriority w:val="99"/>
    <w:pPr>
      <w:keepNext/>
      <w:keepLines/>
      <w:spacing w:before="340" w:after="330" w:line="578" w:lineRule="auto"/>
      <w:outlineLvl w:val="0"/>
    </w:pPr>
    <w:rPr>
      <w:rFonts w:eastAsia="楷体_GB2312"/>
      <w:b/>
      <w:bCs/>
      <w:kern w:val="44"/>
      <w:sz w:val="44"/>
      <w:szCs w:val="44"/>
    </w:rPr>
  </w:style>
  <w:style w:type="paragraph" w:styleId="5">
    <w:name w:val="heading 2"/>
    <w:basedOn w:val="1"/>
    <w:next w:val="1"/>
    <w:link w:val="25"/>
    <w:qFormat/>
    <w:uiPriority w:val="99"/>
    <w:pPr>
      <w:keepNext/>
      <w:keepLines/>
      <w:spacing w:line="360" w:lineRule="auto"/>
      <w:outlineLvl w:val="1"/>
    </w:pPr>
    <w:rPr>
      <w:rFonts w:ascii="Cambria" w:hAnsi="Cambria" w:cs="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7"/>
    <w:qFormat/>
    <w:uiPriority w:val="99"/>
    <w:pPr>
      <w:ind w:firstLine="420" w:firstLineChars="200"/>
    </w:pPr>
  </w:style>
  <w:style w:type="paragraph" w:styleId="3">
    <w:name w:val="Body Text Indent"/>
    <w:basedOn w:val="1"/>
    <w:link w:val="26"/>
    <w:semiHidden/>
    <w:qFormat/>
    <w:uiPriority w:val="99"/>
    <w:pPr>
      <w:spacing w:after="120"/>
      <w:ind w:left="420" w:leftChars="200"/>
    </w:pPr>
  </w:style>
  <w:style w:type="paragraph" w:styleId="6">
    <w:name w:val="Normal Indent"/>
    <w:basedOn w:val="1"/>
    <w:link w:val="35"/>
    <w:qFormat/>
    <w:uiPriority w:val="99"/>
    <w:pPr>
      <w:adjustRightInd w:val="0"/>
      <w:ind w:firstLine="420"/>
      <w:jc w:val="left"/>
      <w:textAlignment w:val="baseline"/>
    </w:pPr>
    <w:rPr>
      <w:rFonts w:eastAsia="楷体_GB2312"/>
      <w:kern w:val="0"/>
      <w:sz w:val="20"/>
      <w:szCs w:val="20"/>
    </w:rPr>
  </w:style>
  <w:style w:type="paragraph" w:styleId="7">
    <w:name w:val="Document Map"/>
    <w:basedOn w:val="1"/>
    <w:link w:val="28"/>
    <w:semiHidden/>
    <w:qFormat/>
    <w:uiPriority w:val="99"/>
    <w:rPr>
      <w:rFonts w:ascii="宋体" w:cs="宋体"/>
      <w:sz w:val="18"/>
      <w:szCs w:val="18"/>
    </w:rPr>
  </w:style>
  <w:style w:type="paragraph" w:styleId="8">
    <w:name w:val="annotation text"/>
    <w:basedOn w:val="1"/>
    <w:link w:val="29"/>
    <w:semiHidden/>
    <w:qFormat/>
    <w:uiPriority w:val="99"/>
    <w:pPr>
      <w:jc w:val="left"/>
    </w:pPr>
  </w:style>
  <w:style w:type="paragraph" w:styleId="9">
    <w:name w:val="index 4"/>
    <w:basedOn w:val="1"/>
    <w:next w:val="1"/>
    <w:semiHidden/>
    <w:qFormat/>
    <w:uiPriority w:val="99"/>
    <w:pPr>
      <w:ind w:left="1260"/>
    </w:pPr>
  </w:style>
  <w:style w:type="paragraph" w:styleId="10">
    <w:name w:val="toc 3"/>
    <w:basedOn w:val="1"/>
    <w:next w:val="1"/>
    <w:semiHidden/>
    <w:qFormat/>
    <w:uiPriority w:val="99"/>
    <w:pPr>
      <w:ind w:left="840" w:leftChars="400"/>
    </w:pPr>
  </w:style>
  <w:style w:type="paragraph" w:styleId="11">
    <w:name w:val="Plain Text"/>
    <w:basedOn w:val="1"/>
    <w:next w:val="1"/>
    <w:link w:val="30"/>
    <w:qFormat/>
    <w:uiPriority w:val="99"/>
    <w:rPr>
      <w:rFonts w:ascii="宋体" w:hAnsi="Courier New" w:cs="宋体"/>
    </w:rPr>
  </w:style>
  <w:style w:type="paragraph" w:styleId="12">
    <w:name w:val="Balloon Text"/>
    <w:basedOn w:val="1"/>
    <w:link w:val="31"/>
    <w:semiHidden/>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99"/>
    <w:pPr>
      <w:adjustRightInd w:val="0"/>
      <w:jc w:val="left"/>
      <w:textAlignment w:val="baseline"/>
    </w:pPr>
    <w:rPr>
      <w:rFonts w:eastAsia="楷体_GB2312"/>
      <w:sz w:val="24"/>
      <w:szCs w:val="24"/>
    </w:rPr>
  </w:style>
  <w:style w:type="paragraph" w:styleId="16">
    <w:name w:val="Normal (Web)"/>
    <w:basedOn w:val="1"/>
    <w:qFormat/>
    <w:uiPriority w:val="99"/>
    <w:pPr>
      <w:spacing w:before="100" w:beforeAutospacing="1" w:after="100" w:afterAutospacing="1"/>
      <w:jc w:val="left"/>
    </w:pPr>
    <w:rPr>
      <w:kern w:val="0"/>
      <w:sz w:val="24"/>
      <w:szCs w:val="24"/>
    </w:rPr>
  </w:style>
  <w:style w:type="paragraph" w:styleId="17">
    <w:name w:val="annotation subject"/>
    <w:basedOn w:val="8"/>
    <w:next w:val="8"/>
    <w:link w:val="34"/>
    <w:semiHidden/>
    <w:qFormat/>
    <w:uiPriority w:val="99"/>
    <w:rPr>
      <w:b/>
      <w:bCs/>
    </w:rPr>
  </w:style>
  <w:style w:type="table" w:styleId="19">
    <w:name w:val="Table Grid"/>
    <w:basedOn w:val="18"/>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locked/>
    <w:uiPriority w:val="99"/>
  </w:style>
  <w:style w:type="character" w:styleId="22">
    <w:name w:val="Hyperlink"/>
    <w:qFormat/>
    <w:uiPriority w:val="99"/>
    <w:rPr>
      <w:color w:val="0000FF"/>
      <w:u w:val="single"/>
    </w:rPr>
  </w:style>
  <w:style w:type="character" w:styleId="23">
    <w:name w:val="annotation reference"/>
    <w:semiHidden/>
    <w:qFormat/>
    <w:uiPriority w:val="99"/>
    <w:rPr>
      <w:sz w:val="21"/>
      <w:szCs w:val="21"/>
    </w:rPr>
  </w:style>
  <w:style w:type="character" w:customStyle="1" w:styleId="24">
    <w:name w:val="标题 1 Char"/>
    <w:link w:val="4"/>
    <w:qFormat/>
    <w:locked/>
    <w:uiPriority w:val="99"/>
    <w:rPr>
      <w:rFonts w:ascii="Calibri" w:hAnsi="Calibri" w:eastAsia="楷体_GB2312" w:cs="Calibri"/>
      <w:b/>
      <w:bCs/>
      <w:kern w:val="44"/>
      <w:sz w:val="20"/>
      <w:szCs w:val="20"/>
    </w:rPr>
  </w:style>
  <w:style w:type="character" w:customStyle="1" w:styleId="25">
    <w:name w:val="标题 2 Char"/>
    <w:link w:val="5"/>
    <w:locked/>
    <w:uiPriority w:val="99"/>
    <w:rPr>
      <w:rFonts w:ascii="Cambria" w:hAnsi="Cambria" w:eastAsia="宋体" w:cs="Cambria"/>
      <w:b/>
      <w:bCs/>
      <w:sz w:val="32"/>
      <w:szCs w:val="32"/>
    </w:rPr>
  </w:style>
  <w:style w:type="character" w:customStyle="1" w:styleId="26">
    <w:name w:val="正文文本缩进 Char"/>
    <w:link w:val="3"/>
    <w:semiHidden/>
    <w:qFormat/>
    <w:locked/>
    <w:uiPriority w:val="99"/>
    <w:rPr>
      <w:sz w:val="21"/>
      <w:szCs w:val="21"/>
    </w:rPr>
  </w:style>
  <w:style w:type="character" w:customStyle="1" w:styleId="27">
    <w:name w:val="正文首行缩进 2 Char"/>
    <w:basedOn w:val="26"/>
    <w:link w:val="2"/>
    <w:semiHidden/>
    <w:qFormat/>
    <w:locked/>
    <w:uiPriority w:val="99"/>
    <w:rPr>
      <w:sz w:val="21"/>
      <w:szCs w:val="21"/>
    </w:rPr>
  </w:style>
  <w:style w:type="character" w:customStyle="1" w:styleId="28">
    <w:name w:val="文档结构图 Char"/>
    <w:link w:val="7"/>
    <w:semiHidden/>
    <w:qFormat/>
    <w:locked/>
    <w:uiPriority w:val="99"/>
    <w:rPr>
      <w:rFonts w:ascii="宋体" w:eastAsia="宋体" w:cs="宋体"/>
      <w:sz w:val="18"/>
      <w:szCs w:val="18"/>
    </w:rPr>
  </w:style>
  <w:style w:type="character" w:customStyle="1" w:styleId="29">
    <w:name w:val="批注文字 Char"/>
    <w:link w:val="8"/>
    <w:semiHidden/>
    <w:qFormat/>
    <w:locked/>
    <w:uiPriority w:val="99"/>
    <w:rPr>
      <w:kern w:val="2"/>
      <w:sz w:val="22"/>
      <w:szCs w:val="22"/>
    </w:rPr>
  </w:style>
  <w:style w:type="character" w:customStyle="1" w:styleId="30">
    <w:name w:val="纯文本 Char"/>
    <w:link w:val="11"/>
    <w:semiHidden/>
    <w:qFormat/>
    <w:locked/>
    <w:uiPriority w:val="99"/>
    <w:rPr>
      <w:rFonts w:ascii="宋体" w:hAnsi="Courier New" w:cs="宋体"/>
      <w:sz w:val="21"/>
      <w:szCs w:val="21"/>
    </w:rPr>
  </w:style>
  <w:style w:type="character" w:customStyle="1" w:styleId="31">
    <w:name w:val="批注框文本 Char"/>
    <w:link w:val="12"/>
    <w:semiHidden/>
    <w:qFormat/>
    <w:locked/>
    <w:uiPriority w:val="99"/>
    <w:rPr>
      <w:kern w:val="2"/>
      <w:sz w:val="18"/>
      <w:szCs w:val="18"/>
    </w:rPr>
  </w:style>
  <w:style w:type="character" w:customStyle="1" w:styleId="32">
    <w:name w:val="页脚 Char"/>
    <w:link w:val="13"/>
    <w:qFormat/>
    <w:locked/>
    <w:uiPriority w:val="99"/>
    <w:rPr>
      <w:sz w:val="18"/>
      <w:szCs w:val="18"/>
    </w:rPr>
  </w:style>
  <w:style w:type="character" w:customStyle="1" w:styleId="33">
    <w:name w:val="页眉 Char"/>
    <w:link w:val="14"/>
    <w:qFormat/>
    <w:locked/>
    <w:uiPriority w:val="99"/>
    <w:rPr>
      <w:sz w:val="18"/>
      <w:szCs w:val="18"/>
    </w:rPr>
  </w:style>
  <w:style w:type="character" w:customStyle="1" w:styleId="34">
    <w:name w:val="批注主题 Char"/>
    <w:link w:val="17"/>
    <w:semiHidden/>
    <w:qFormat/>
    <w:locked/>
    <w:uiPriority w:val="99"/>
    <w:rPr>
      <w:b/>
      <w:bCs/>
      <w:kern w:val="2"/>
      <w:sz w:val="22"/>
      <w:szCs w:val="22"/>
    </w:rPr>
  </w:style>
  <w:style w:type="character" w:customStyle="1" w:styleId="35">
    <w:name w:val="正文缩进 Char"/>
    <w:link w:val="6"/>
    <w:qFormat/>
    <w:locked/>
    <w:uiPriority w:val="99"/>
    <w:rPr>
      <w:rFonts w:ascii="Calibri" w:hAnsi="Calibri" w:eastAsia="楷体_GB2312" w:cs="Calibri"/>
      <w:kern w:val="0"/>
      <w:sz w:val="20"/>
      <w:szCs w:val="20"/>
    </w:rPr>
  </w:style>
  <w:style w:type="character" w:customStyle="1" w:styleId="36">
    <w:name w:val="NormalCharacter"/>
    <w:qFormat/>
    <w:uiPriority w:val="99"/>
    <w:rPr>
      <w:rFonts w:ascii="Times New Roman" w:hAnsi="Times New Roman" w:eastAsia="宋体" w:cs="Times New Roman"/>
    </w:rPr>
  </w:style>
  <w:style w:type="character" w:customStyle="1" w:styleId="37">
    <w:name w:val="普通正文 Char"/>
    <w:link w:val="38"/>
    <w:qFormat/>
    <w:locked/>
    <w:uiPriority w:val="99"/>
    <w:rPr>
      <w:rFonts w:ascii="Arial" w:hAnsi="Arial" w:cs="Arial"/>
      <w:sz w:val="24"/>
      <w:szCs w:val="24"/>
    </w:rPr>
  </w:style>
  <w:style w:type="paragraph" w:customStyle="1" w:styleId="38">
    <w:name w:val="普通正文"/>
    <w:basedOn w:val="1"/>
    <w:link w:val="37"/>
    <w:qFormat/>
    <w:uiPriority w:val="99"/>
    <w:pPr>
      <w:adjustRightInd w:val="0"/>
      <w:spacing w:before="120" w:after="120" w:line="360" w:lineRule="auto"/>
      <w:ind w:left="-2" w:right="120" w:firstLine="480"/>
      <w:jc w:val="center"/>
      <w:textAlignment w:val="baseline"/>
    </w:pPr>
    <w:rPr>
      <w:rFonts w:ascii="Arial" w:hAnsi="Arial" w:cs="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27</Pages>
  <Words>13731</Words>
  <Characters>14016</Characters>
  <Lines>104</Lines>
  <Paragraphs>29</Paragraphs>
  <TotalTime>0</TotalTime>
  <ScaleCrop>false</ScaleCrop>
  <LinksUpToDate>false</LinksUpToDate>
  <CharactersWithSpaces>14073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2022-09-16T14:01:00Z</dcterms:created>
  <dc:creator>Administrator</dc:creator>
  <cp:lastModifiedBy>Administrator</cp:lastModifiedBy>
  <cp:lastPrinted>2022-08-29T08:57:00Z</cp:lastPrinted>
  <dcterms:modified xsi:type="dcterms:W3CDTF">2022-09-19T13:22:15Z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C12715B770C9490C98D7BDB5AACE502D</vt:lpwstr>
  </property>
</Properties>
</file>