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pacing w:line="360" w:lineRule="auto"/>
        <w:jc w:val="left"/>
        <w:textAlignment w:val="baseline"/>
        <w:rPr>
          <w:rFonts w:ascii="Times New Roman" w:hAnsi="Times New Roman" w:eastAsia="宋体"/>
          <w:sz w:val="44"/>
          <w:szCs w:val="44"/>
        </w:rPr>
      </w:pPr>
    </w:p>
    <w:p>
      <w:pPr>
        <w:tabs>
          <w:tab w:val="left" w:pos="5760"/>
          <w:tab w:val="left" w:pos="6300"/>
        </w:tabs>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pPr>
        <w:pStyle w:val="40"/>
        <w:spacing w:before="0" w:after="0"/>
        <w:ind w:firstLine="0"/>
        <w:rPr>
          <w:rFonts w:hint="eastAsia" w:ascii="Times New Roman" w:hAnsi="Times New Roman" w:eastAsia="宋体"/>
          <w:b/>
          <w:sz w:val="56"/>
          <w:szCs w:val="56"/>
          <w:lang w:eastAsia="zh-CN"/>
        </w:rPr>
      </w:pPr>
      <w:r>
        <w:rPr>
          <w:rFonts w:hint="eastAsia" w:ascii="Times New Roman" w:hAnsi="Times New Roman" w:eastAsia="宋体"/>
          <w:b/>
          <w:sz w:val="56"/>
          <w:szCs w:val="56"/>
          <w:lang w:eastAsia="zh-CN"/>
        </w:rPr>
        <w:t>南通市第三人民医院网络安全改造项目</w:t>
      </w: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pPr>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2023年</w:t>
      </w:r>
      <w:r>
        <w:rPr>
          <w:rFonts w:hint="eastAsia" w:ascii="Times New Roman" w:hAnsi="Times New Roman" w:eastAsia="宋体" w:cs="宋体"/>
          <w:b/>
          <w:sz w:val="30"/>
          <w:szCs w:val="30"/>
          <w:lang w:val="en-US" w:eastAsia="zh-CN"/>
        </w:rPr>
        <w:t>11</w:t>
      </w:r>
      <w:r>
        <w:rPr>
          <w:rFonts w:hint="eastAsia" w:ascii="Times New Roman" w:hAnsi="Times New Roman" w:eastAsia="宋体" w:cs="宋体"/>
          <w:b/>
          <w:sz w:val="30"/>
          <w:szCs w:val="30"/>
        </w:rPr>
        <w:t>月</w:t>
      </w:r>
    </w:p>
    <w:p>
      <w:pPr>
        <w:adjustRightInd w:val="0"/>
        <w:snapToGrid w:val="0"/>
        <w:spacing w:line="360" w:lineRule="auto"/>
        <w:jc w:val="center"/>
        <w:rPr>
          <w:rFonts w:hint="eastAsia" w:ascii="Times New Roman" w:hAnsi="Times New Roman" w:eastAsia="宋体"/>
          <w:b/>
          <w:sz w:val="44"/>
          <w:szCs w:val="44"/>
        </w:rPr>
      </w:pPr>
    </w:p>
    <w:p>
      <w:pPr>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pPr>
        <w:pStyle w:val="6"/>
        <w:overflowPunct w:val="0"/>
        <w:spacing w:line="360" w:lineRule="auto"/>
        <w:ind w:firstLine="0"/>
        <w:jc w:val="center"/>
        <w:rPr>
          <w:rFonts w:ascii="Times New Roman" w:hAnsi="Times New Roman" w:eastAsia="宋体"/>
          <w:sz w:val="30"/>
        </w:rPr>
      </w:pPr>
    </w:p>
    <w:p>
      <w:pPr>
        <w:pStyle w:val="17"/>
        <w:tabs>
          <w:tab w:val="right" w:leader="dot" w:pos="9528"/>
        </w:tabs>
        <w:spacing w:line="360" w:lineRule="auto"/>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pPr>
        <w:pStyle w:val="17"/>
        <w:tabs>
          <w:tab w:val="right" w:leader="dot" w:pos="9528"/>
        </w:tabs>
        <w:spacing w:line="360" w:lineRule="auto"/>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pPr>
        <w:pStyle w:val="17"/>
        <w:tabs>
          <w:tab w:val="right" w:leader="dot" w:pos="9528"/>
        </w:tabs>
        <w:spacing w:line="360" w:lineRule="auto"/>
        <w:rPr>
          <w:rFonts w:ascii="Times New Roman" w:hAnsi="Times New Roman" w:eastAsia="宋体"/>
          <w:sz w:val="32"/>
          <w:szCs w:val="32"/>
        </w:rPr>
      </w:pPr>
      <w:r>
        <w:rPr>
          <w:rFonts w:ascii="Times New Roman" w:hAnsi="Times New Roman" w:eastAsia="宋体"/>
          <w:sz w:val="32"/>
          <w:szCs w:val="32"/>
        </w:rPr>
        <w:t>第三章 项目需求</w:t>
      </w:r>
    </w:p>
    <w:p>
      <w:pPr>
        <w:pStyle w:val="17"/>
        <w:tabs>
          <w:tab w:val="right" w:leader="dot" w:pos="9528"/>
        </w:tabs>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pPr>
        <w:pStyle w:val="17"/>
        <w:tabs>
          <w:tab w:val="right" w:leader="dot" w:pos="9528"/>
        </w:tabs>
        <w:spacing w:line="360" w:lineRule="auto"/>
        <w:rPr>
          <w:rFonts w:ascii="Times New Roman" w:hAnsi="Times New Roman" w:eastAsia="宋体"/>
          <w:sz w:val="32"/>
          <w:szCs w:val="32"/>
        </w:rPr>
      </w:pPr>
      <w:r>
        <w:rPr>
          <w:rFonts w:hint="eastAsia" w:ascii="Times New Roman" w:hAnsi="Times New Roman" w:eastAsia="宋体"/>
          <w:sz w:val="32"/>
          <w:szCs w:val="32"/>
        </w:rPr>
        <w:t>第五章 合同授予</w:t>
      </w:r>
    </w:p>
    <w:p>
      <w:pPr>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pPr>
        <w:spacing w:line="360" w:lineRule="auto"/>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pPr>
        <w:widowControl/>
        <w:spacing w:line="360" w:lineRule="auto"/>
        <w:jc w:val="left"/>
        <w:rPr>
          <w:rFonts w:ascii="Times New Roman" w:hAnsi="Times New Roman" w:eastAsia="宋体"/>
          <w:b/>
          <w:bCs/>
          <w:sz w:val="36"/>
          <w:szCs w:val="36"/>
        </w:rPr>
      </w:pPr>
      <w:r>
        <w:rPr>
          <w:rFonts w:ascii="Times New Roman" w:hAnsi="Times New Roman" w:eastAsia="宋体"/>
          <w:b/>
          <w:bCs/>
          <w:sz w:val="36"/>
          <w:szCs w:val="36"/>
        </w:rPr>
        <w:fldChar w:fldCharType="end"/>
      </w:r>
    </w:p>
    <w:p>
      <w:pPr>
        <w:pStyle w:val="20"/>
        <w:spacing w:after="0" w:line="360" w:lineRule="auto"/>
        <w:rPr>
          <w:rFonts w:ascii="Times New Roman" w:hAnsi="Times New Roman" w:eastAsia="宋体"/>
        </w:rPr>
      </w:pPr>
      <w:r>
        <w:rPr>
          <w:rFonts w:ascii="Times New Roman" w:hAnsi="Times New Roman" w:eastAsia="宋体"/>
        </w:rPr>
        <w:br w:type="page"/>
      </w:r>
    </w:p>
    <w:p>
      <w:pPr>
        <w:spacing w:line="360" w:lineRule="auto"/>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尊敬的投标供应商：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3"/>
        <w:keepNext w:val="0"/>
        <w:keepLines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宋体"/>
          <w:bCs/>
          <w:sz w:val="24"/>
          <w:szCs w:val="24"/>
          <w:highlight w:val="none"/>
          <w:u w:val="single"/>
        </w:rPr>
      </w:pPr>
      <w:r>
        <w:rPr>
          <w:rFonts w:hint="eastAsia" w:ascii="Times New Roman" w:hAnsi="Times New Roman" w:eastAsia="宋体" w:cs="Times New Roman"/>
          <w:sz w:val="24"/>
          <w:szCs w:val="24"/>
          <w:lang w:eastAsia="zh-CN"/>
        </w:rPr>
        <w:t>南通市第三人民医院网络安全改造项目</w:t>
      </w:r>
      <w:r>
        <w:rPr>
          <w:rFonts w:hint="eastAsia" w:ascii="Times New Roman" w:hAnsi="Times New Roman" w:eastAsia="宋体" w:cs="Times New Roman"/>
          <w:sz w:val="24"/>
          <w:szCs w:val="24"/>
        </w:rPr>
        <w:t>的潜在供应商应在南通市第三人民医院官网获取采购文件，并于</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11</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13</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bCs/>
          <w:sz w:val="24"/>
          <w:szCs w:val="24"/>
          <w:highlight w:val="none"/>
        </w:rPr>
        <w:t>（北京时间）</w:t>
      </w:r>
      <w:r>
        <w:rPr>
          <w:rFonts w:hint="eastAsia" w:ascii="Times New Roman" w:hAnsi="Times New Roman" w:eastAsia="宋体" w:cs="Times New Roman"/>
          <w:sz w:val="24"/>
          <w:szCs w:val="24"/>
          <w:highlight w:val="none"/>
        </w:rPr>
        <w:t>前提交响应文件。</w:t>
      </w:r>
    </w:p>
    <w:p>
      <w:pPr>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一、项目基本情况</w:t>
      </w:r>
    </w:p>
    <w:p>
      <w:pPr>
        <w:spacing w:line="360" w:lineRule="auto"/>
        <w:ind w:firstLine="480" w:firstLineChars="200"/>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rPr>
        <w:t>1、项目编号：</w:t>
      </w:r>
      <w:r>
        <w:rPr>
          <w:rFonts w:hint="eastAsia" w:ascii="Times New Roman" w:hAnsi="Times New Roman" w:eastAsia="宋体" w:cs="宋体"/>
          <w:sz w:val="24"/>
          <w:szCs w:val="24"/>
          <w:highlight w:val="none"/>
          <w:lang w:val="en-US" w:eastAsia="zh-CN"/>
        </w:rPr>
        <w:t>SYWL-HXTD1024002</w:t>
      </w:r>
    </w:p>
    <w:p>
      <w:pPr>
        <w:spacing w:line="360" w:lineRule="auto"/>
        <w:ind w:firstLine="480" w:firstLineChars="200"/>
        <w:rPr>
          <w:rFonts w:hint="eastAsia" w:ascii="Times New Roman" w:hAnsi="Times New Roman" w:eastAsia="宋体" w:cs="宋体"/>
          <w:sz w:val="24"/>
          <w:szCs w:val="24"/>
          <w:highlight w:val="none"/>
          <w:lang w:eastAsia="zh-CN"/>
        </w:rPr>
      </w:pPr>
      <w:r>
        <w:rPr>
          <w:rFonts w:hint="eastAsia" w:ascii="Times New Roman" w:hAnsi="Times New Roman" w:eastAsia="宋体" w:cs="宋体"/>
          <w:sz w:val="24"/>
          <w:szCs w:val="24"/>
          <w:highlight w:val="none"/>
        </w:rPr>
        <w:t>2、项目名称：</w:t>
      </w:r>
      <w:r>
        <w:rPr>
          <w:rFonts w:hint="eastAsia" w:ascii="Times New Roman" w:hAnsi="Times New Roman" w:eastAsia="宋体" w:cs="Times New Roman"/>
          <w:sz w:val="24"/>
          <w:szCs w:val="24"/>
          <w:highlight w:val="none"/>
          <w:lang w:eastAsia="zh-CN"/>
        </w:rPr>
        <w:t>南通市第三人民医院网络安全改造项目</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3、采购人式：□竞争性谈判 </w:t>
      </w:r>
      <w:r>
        <w:rPr>
          <w:rFonts w:hint="eastAsia" w:ascii="Times New Roman" w:hAnsi="Times New Roman" w:eastAsia="MS Mincho" w:cs="MS Mincho"/>
          <w:sz w:val="24"/>
          <w:szCs w:val="24"/>
          <w:highlight w:val="none"/>
        </w:rPr>
        <w:t>☑</w:t>
      </w:r>
      <w:r>
        <w:rPr>
          <w:rFonts w:hint="eastAsia" w:ascii="Times New Roman" w:hAnsi="Times New Roman" w:eastAsia="宋体" w:cs="宋体"/>
          <w:sz w:val="24"/>
          <w:szCs w:val="24"/>
          <w:highlight w:val="none"/>
        </w:rPr>
        <w:t>竞争性磋商 □询价</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4、预算金额：约</w:t>
      </w:r>
      <w:r>
        <w:rPr>
          <w:rFonts w:hint="eastAsia" w:ascii="Times New Roman" w:hAnsi="Times New Roman" w:eastAsia="宋体" w:cs="宋体"/>
          <w:sz w:val="24"/>
          <w:szCs w:val="24"/>
          <w:highlight w:val="none"/>
          <w:u w:val="none"/>
          <w:lang w:val="en-US" w:eastAsia="zh-CN"/>
        </w:rPr>
        <w:t>48</w:t>
      </w:r>
      <w:r>
        <w:rPr>
          <w:rFonts w:hint="eastAsia" w:ascii="Times New Roman" w:hAnsi="Times New Roman" w:eastAsia="宋体" w:cs="宋体"/>
          <w:sz w:val="24"/>
          <w:szCs w:val="24"/>
          <w:highlight w:val="none"/>
        </w:rPr>
        <w:t>万元</w:t>
      </w:r>
    </w:p>
    <w:p>
      <w:pPr>
        <w:spacing w:line="360" w:lineRule="auto"/>
        <w:ind w:firstLine="480" w:firstLineChars="200"/>
        <w:rPr>
          <w:rFonts w:ascii="Times New Roman" w:hAnsi="Times New Roman" w:eastAsia="宋体" w:cs="宋体"/>
          <w:sz w:val="24"/>
          <w:szCs w:val="24"/>
          <w:highlight w:val="none"/>
          <w:u w:val="single"/>
        </w:rPr>
      </w:pPr>
      <w:r>
        <w:rPr>
          <w:rFonts w:hint="eastAsia" w:ascii="Times New Roman" w:hAnsi="Times New Roman" w:eastAsia="宋体" w:cs="宋体"/>
          <w:sz w:val="24"/>
          <w:szCs w:val="24"/>
          <w:highlight w:val="none"/>
        </w:rPr>
        <w:t>5、最高限价：</w:t>
      </w:r>
      <w:r>
        <w:rPr>
          <w:rFonts w:hint="eastAsia" w:ascii="Times New Roman" w:hAnsi="Times New Roman" w:eastAsia="宋体" w:cs="宋体"/>
          <w:sz w:val="24"/>
          <w:szCs w:val="24"/>
          <w:highlight w:val="none"/>
          <w:u w:val="none"/>
          <w:lang w:val="en-US" w:eastAsia="zh-CN"/>
        </w:rPr>
        <w:t>48</w:t>
      </w:r>
      <w:r>
        <w:rPr>
          <w:rFonts w:hint="eastAsia" w:ascii="Times New Roman" w:hAnsi="Times New Roman" w:eastAsia="宋体" w:cs="宋体"/>
          <w:sz w:val="24"/>
          <w:szCs w:val="24"/>
          <w:highlight w:val="none"/>
        </w:rPr>
        <w:t>万元</w:t>
      </w:r>
      <w:r>
        <w:rPr>
          <w:rFonts w:hint="eastAsia" w:ascii="Times New Roman" w:hAnsi="Times New Roman" w:eastAsia="宋体" w:cs="仿宋"/>
          <w:bCs/>
          <w:sz w:val="24"/>
          <w:szCs w:val="20"/>
          <w:highlight w:val="none"/>
        </w:rPr>
        <w:t>，报价超过最高限价的为无效响应文件；</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6、采购需求：</w:t>
      </w:r>
      <w:r>
        <w:rPr>
          <w:rFonts w:hint="eastAsia" w:ascii="Times New Roman" w:hAnsi="Times New Roman" w:eastAsia="宋体" w:cs="Times New Roman"/>
          <w:sz w:val="24"/>
          <w:szCs w:val="24"/>
          <w:highlight w:val="none"/>
          <w:lang w:val="zh-CN" w:eastAsia="zh-CN"/>
        </w:rPr>
        <w:t>为</w:t>
      </w:r>
      <w:r>
        <w:rPr>
          <w:rFonts w:hint="eastAsia" w:ascii="Times New Roman" w:hAnsi="Times New Roman" w:eastAsia="宋体" w:cs="Times New Roman"/>
          <w:sz w:val="24"/>
          <w:szCs w:val="24"/>
          <w:highlight w:val="none"/>
          <w:lang w:eastAsia="zh-CN"/>
        </w:rPr>
        <w:t>南通市第三人民医院进行网络安全改造；</w:t>
      </w:r>
      <w:r>
        <w:rPr>
          <w:rFonts w:hint="eastAsia" w:ascii="Times New Roman" w:hAnsi="Times New Roman" w:eastAsia="宋体" w:cs="宋体"/>
          <w:sz w:val="24"/>
          <w:szCs w:val="24"/>
          <w:highlight w:val="none"/>
        </w:rPr>
        <w:t>具体内容详见竞争性磋商文件第三章项目需求。</w:t>
      </w:r>
    </w:p>
    <w:p>
      <w:pPr>
        <w:spacing w:line="360" w:lineRule="auto"/>
        <w:ind w:firstLine="480" w:firstLineChars="200"/>
        <w:rPr>
          <w:rFonts w:hint="eastAsia" w:ascii="Times New Roman" w:hAnsi="Times New Roman" w:eastAsia="宋体" w:cs="Times New Roman"/>
          <w:sz w:val="24"/>
          <w:szCs w:val="24"/>
          <w:highlight w:val="none"/>
          <w:lang w:val="zh-CN" w:eastAsia="zh-CN"/>
        </w:rPr>
      </w:pPr>
      <w:r>
        <w:rPr>
          <w:rFonts w:hint="eastAsia" w:ascii="Times New Roman" w:hAnsi="Times New Roman" w:eastAsia="宋体" w:cs="宋体"/>
          <w:sz w:val="24"/>
          <w:szCs w:val="24"/>
          <w:highlight w:val="none"/>
        </w:rPr>
        <w:t>7、</w:t>
      </w:r>
      <w:r>
        <w:rPr>
          <w:rFonts w:hint="eastAsia" w:ascii="Times New Roman" w:hAnsi="Times New Roman" w:eastAsia="宋体" w:cs="宋体"/>
          <w:sz w:val="24"/>
          <w:szCs w:val="24"/>
          <w:highlight w:val="none"/>
          <w:lang w:eastAsia="zh-CN"/>
        </w:rPr>
        <w:t>服务</w:t>
      </w:r>
      <w:r>
        <w:rPr>
          <w:rFonts w:hint="eastAsia" w:ascii="Times New Roman" w:hAnsi="Times New Roman" w:eastAsia="宋体" w:cs="宋体"/>
          <w:sz w:val="24"/>
          <w:szCs w:val="24"/>
          <w:highlight w:val="none"/>
        </w:rPr>
        <w:t>期</w:t>
      </w:r>
      <w:r>
        <w:rPr>
          <w:rFonts w:hint="eastAsia" w:ascii="Times New Roman" w:hAnsi="Times New Roman" w:eastAsia="宋体" w:cs="宋体"/>
          <w:sz w:val="24"/>
          <w:szCs w:val="24"/>
          <w:highlight w:val="none"/>
          <w:lang w:eastAsia="zh-CN"/>
        </w:rPr>
        <w:t>限：</w:t>
      </w:r>
      <w:r>
        <w:rPr>
          <w:rFonts w:hint="eastAsia" w:ascii="Times New Roman" w:hAnsi="Times New Roman" w:eastAsia="宋体" w:cs="Times New Roman"/>
          <w:sz w:val="24"/>
          <w:szCs w:val="24"/>
          <w:highlight w:val="none"/>
          <w:lang w:val="zh-CN" w:eastAsia="zh-CN"/>
        </w:rPr>
        <w:t>自合同签定之日起30天内完成并通过采购人验收。</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8、本项目不接受联合体。</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二、申请人的资格要求</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1、符合《中华人民共和国政府采购法》第二十二条规定，并提供声明函：</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pPr>
        <w:spacing w:line="360" w:lineRule="auto"/>
        <w:ind w:firstLine="482"/>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2、落实政府采购政策需满足的资格要求：</w:t>
      </w:r>
      <w:r>
        <w:rPr>
          <w:rFonts w:hint="eastAsia" w:ascii="Times New Roman" w:hAnsi="Times New Roman" w:eastAsia="宋体" w:cs="宋体"/>
          <w:sz w:val="24"/>
          <w:szCs w:val="24"/>
          <w:u w:val="single"/>
          <w:lang w:eastAsia="zh-CN"/>
        </w:rPr>
        <w:t>无</w:t>
      </w:r>
      <w:r>
        <w:rPr>
          <w:rFonts w:hint="eastAsia" w:ascii="Times New Roman" w:hAnsi="Times New Roman" w:eastAsia="宋体" w:cs="宋体"/>
          <w:sz w:val="24"/>
          <w:szCs w:val="24"/>
          <w:lang w:eastAsia="zh-CN"/>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pPr>
        <w:numPr>
          <w:ilvl w:val="0"/>
          <w:numId w:val="0"/>
        </w:numPr>
        <w:snapToGrid w:val="0"/>
        <w:spacing w:line="480" w:lineRule="exact"/>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（1）提供投标供应商企业法人营业执照（副本）及税务登记证（副本）的复印件；或者是三证合一的营业执照（副本）的复印件；</w:t>
      </w:r>
    </w:p>
    <w:p>
      <w:pPr>
        <w:spacing w:line="360" w:lineRule="auto"/>
        <w:ind w:firstLine="480" w:firstLineChars="200"/>
        <w:rPr>
          <w:rFonts w:hint="eastAsia" w:ascii="Times New Roman" w:hAnsi="Times New Roman" w:eastAsia="宋体"/>
          <w:color w:val="000000"/>
          <w:sz w:val="24"/>
          <w:szCs w:val="24"/>
        </w:rPr>
      </w:pPr>
      <w:r>
        <w:rPr>
          <w:rFonts w:hint="eastAsia" w:ascii="Times New Roman" w:hAnsi="Times New Roman" w:eastAsia="宋体"/>
          <w:color w:val="000000"/>
          <w:sz w:val="24"/>
          <w:szCs w:val="24"/>
        </w:rPr>
        <w:t>（2）法定代表人参加投标的，必须提供法定代表人身份证明及法定代表人本人身份证两项复印件（须加盖单位公章）；非法定代表人参加投标的，必须提供法定代表人签字或印章的授权委托书及被授权人本人身份证两项复印件；（须加盖单位公章）</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4、未被“信用中国”网站（www.creditchina.gov.cn）列入失信被执行人、重大税收违法案件当事人名单、政府采购严重失信行为记录名单；</w:t>
      </w:r>
    </w:p>
    <w:p>
      <w:pPr>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具体资格要求详见第</w:t>
      </w:r>
      <w:r>
        <w:rPr>
          <w:rFonts w:hint="eastAsia" w:ascii="Times New Roman" w:hAnsi="Times New Roman" w:eastAsia="宋体"/>
          <w:b/>
          <w:sz w:val="24"/>
          <w:szCs w:val="24"/>
        </w:rPr>
        <w:t>七</w:t>
      </w:r>
      <w:r>
        <w:rPr>
          <w:rFonts w:hint="eastAsia" w:ascii="Times New Roman" w:hAnsi="Times New Roman" w:eastAsia="宋体"/>
          <w:b/>
          <w:sz w:val="24"/>
          <w:szCs w:val="24"/>
          <w:lang w:val="zh-CN"/>
        </w:rPr>
        <w:t>章中的“资格审查文件”。</w:t>
      </w:r>
    </w:p>
    <w:p>
      <w:pPr>
        <w:spacing w:line="360" w:lineRule="auto"/>
        <w:ind w:firstLine="482" w:firstLineChars="200"/>
        <w:textAlignment w:val="baseline"/>
        <w:rPr>
          <w:rFonts w:ascii="Times New Roman" w:hAnsi="Times New Roman" w:eastAsia="宋体" w:cs="宋体"/>
          <w:b/>
          <w:kern w:val="0"/>
          <w:sz w:val="24"/>
          <w:szCs w:val="24"/>
          <w:highlight w:val="none"/>
        </w:rPr>
      </w:pPr>
      <w:bookmarkStart w:id="0" w:name="_Toc35393623"/>
      <w:bookmarkStart w:id="1" w:name="_Toc35393792"/>
      <w:r>
        <w:rPr>
          <w:rFonts w:hint="eastAsia" w:ascii="Times New Roman" w:hAnsi="Times New Roman" w:eastAsia="宋体" w:cs="宋体"/>
          <w:b/>
          <w:kern w:val="0"/>
          <w:sz w:val="24"/>
          <w:szCs w:val="24"/>
        </w:rPr>
        <w:t>三、获取采购文件</w:t>
      </w:r>
      <w:bookmarkEnd w:id="0"/>
      <w:bookmarkEnd w:id="1"/>
      <w:r>
        <w:rPr>
          <w:rFonts w:hint="eastAsia" w:ascii="Times New Roman" w:hAnsi="Times New Roman" w:eastAsia="宋体" w:cs="宋体"/>
          <w:b/>
          <w:kern w:val="0"/>
          <w:sz w:val="24"/>
          <w:szCs w:val="24"/>
        </w:rPr>
        <w:t>及投标</w:t>
      </w:r>
      <w:r>
        <w:rPr>
          <w:rFonts w:hint="eastAsia" w:ascii="Times New Roman" w:hAnsi="Times New Roman" w:eastAsia="宋体" w:cs="宋体"/>
          <w:b/>
          <w:kern w:val="0"/>
          <w:sz w:val="24"/>
          <w:szCs w:val="24"/>
          <w:highlight w:val="none"/>
        </w:rPr>
        <w:t>报名</w:t>
      </w:r>
    </w:p>
    <w:p>
      <w:pPr>
        <w:spacing w:line="360" w:lineRule="auto"/>
        <w:ind w:firstLine="480" w:firstLineChars="200"/>
        <w:rPr>
          <w:rFonts w:ascii="Times New Roman" w:hAnsi="Times New Roman" w:eastAsia="宋体" w:cs="宋体"/>
          <w:sz w:val="24"/>
          <w:szCs w:val="24"/>
          <w:highlight w:val="none"/>
        </w:rPr>
      </w:pPr>
      <w:bookmarkStart w:id="2" w:name="_Toc35393624"/>
      <w:bookmarkStart w:id="3" w:name="_Toc28359005"/>
      <w:bookmarkStart w:id="4" w:name="_Toc35393793"/>
      <w:bookmarkStart w:id="5" w:name="_Toc28359082"/>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自本磋商公告发布之日起至2023</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11</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12</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18</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2、方式：在南通市第三人民医院官网（http://www.ntdsyy.com/）自行下载采购文件。</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3、售价：300元/份，</w:t>
      </w:r>
      <w:r>
        <w:rPr>
          <w:rFonts w:hint="eastAsia" w:ascii="Times New Roman" w:hAnsi="Times New Roman" w:eastAsia="宋体" w:cs="宋体"/>
          <w:sz w:val="24"/>
          <w:szCs w:val="24"/>
          <w:highlight w:val="none"/>
          <w:lang w:eastAsia="zh-CN"/>
        </w:rPr>
        <w:t>报名时递交给招标代理机构</w:t>
      </w:r>
      <w:r>
        <w:rPr>
          <w:rFonts w:hint="eastAsia" w:ascii="Times New Roman" w:hAnsi="Times New Roman" w:eastAsia="宋体" w:cs="宋体"/>
          <w:sz w:val="24"/>
          <w:szCs w:val="24"/>
          <w:highlight w:val="none"/>
        </w:rPr>
        <w:t>，售后不退。</w:t>
      </w:r>
    </w:p>
    <w:p>
      <w:pPr>
        <w:spacing w:line="360" w:lineRule="auto"/>
        <w:ind w:firstLine="482" w:firstLineChars="200"/>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4、报名方式：请有意参与本项目</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的供应商于2023年</w:t>
      </w:r>
      <w:r>
        <w:rPr>
          <w:rFonts w:hint="eastAsia" w:ascii="Times New Roman" w:hAnsi="Times New Roman" w:eastAsia="宋体" w:cs="宋体"/>
          <w:b/>
          <w:sz w:val="24"/>
          <w:szCs w:val="24"/>
          <w:highlight w:val="none"/>
          <w:lang w:val="en-US" w:eastAsia="zh-CN"/>
        </w:rPr>
        <w:t>11</w:t>
      </w:r>
      <w:r>
        <w:rPr>
          <w:rFonts w:hint="eastAsia" w:ascii="Times New Roman" w:hAnsi="Times New Roman" w:eastAsia="宋体" w:cs="宋体"/>
          <w:b/>
          <w:sz w:val="24"/>
          <w:szCs w:val="24"/>
          <w:highlight w:val="none"/>
        </w:rPr>
        <w:t>月</w:t>
      </w:r>
      <w:r>
        <w:rPr>
          <w:rFonts w:hint="eastAsia" w:ascii="Times New Roman" w:hAnsi="Times New Roman" w:eastAsia="宋体" w:cs="宋体"/>
          <w:b/>
          <w:sz w:val="24"/>
          <w:szCs w:val="24"/>
          <w:highlight w:val="none"/>
          <w:lang w:val="en-US" w:eastAsia="zh-CN"/>
        </w:rPr>
        <w:t>12</w:t>
      </w:r>
      <w:r>
        <w:rPr>
          <w:rFonts w:hint="eastAsia" w:ascii="Times New Roman" w:hAnsi="Times New Roman" w:eastAsia="宋体" w:cs="宋体"/>
          <w:b/>
          <w:sz w:val="24"/>
          <w:szCs w:val="24"/>
          <w:highlight w:val="none"/>
        </w:rPr>
        <w:t>日18时00分前至代理机构处报名，未报名单位不得参加本项目的</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w:t>
      </w:r>
    </w:p>
    <w:bookmarkEnd w:id="2"/>
    <w:bookmarkEnd w:id="3"/>
    <w:bookmarkEnd w:id="4"/>
    <w:bookmarkEnd w:id="5"/>
    <w:p>
      <w:pPr>
        <w:spacing w:line="360" w:lineRule="auto"/>
        <w:ind w:firstLine="482" w:firstLineChars="200"/>
        <w:textAlignment w:val="baseline"/>
        <w:rPr>
          <w:rFonts w:ascii="Times New Roman" w:hAnsi="Times New Roman" w:eastAsia="宋体" w:cs="宋体"/>
          <w:b/>
          <w:kern w:val="0"/>
          <w:sz w:val="24"/>
          <w:szCs w:val="24"/>
          <w:highlight w:val="none"/>
        </w:rPr>
      </w:pPr>
      <w:bookmarkStart w:id="6" w:name="_Toc28359007"/>
      <w:bookmarkStart w:id="7" w:name="_Toc35393794"/>
      <w:bookmarkStart w:id="8" w:name="_Toc35393625"/>
      <w:bookmarkStart w:id="9" w:name="_Toc28359084"/>
      <w:r>
        <w:rPr>
          <w:rFonts w:hint="eastAsia" w:ascii="Times New Roman" w:hAnsi="Times New Roman" w:eastAsia="宋体" w:cs="宋体"/>
          <w:b/>
          <w:kern w:val="0"/>
          <w:sz w:val="24"/>
          <w:szCs w:val="24"/>
          <w:highlight w:val="none"/>
        </w:rPr>
        <w:t>四、响应文件提交</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1、提交响应文件截止时间：</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11</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13</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r>
        <w:rPr>
          <w:rFonts w:hint="eastAsia" w:ascii="Times New Roman" w:hAnsi="Times New Roman" w:eastAsia="宋体"/>
          <w:sz w:val="24"/>
          <w:highlight w:val="none"/>
        </w:rPr>
        <w:t>逾时，采购人将拒绝接受响应文件纸质文档。</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2、提交响应文件地点：</w:t>
      </w:r>
      <w:r>
        <w:rPr>
          <w:rFonts w:hint="eastAsia" w:ascii="Times New Roman" w:hAnsi="Times New Roman" w:eastAsia="宋体" w:cs="Times New Roman"/>
          <w:sz w:val="24"/>
          <w:szCs w:val="24"/>
          <w:u w:val="single"/>
          <w:lang w:eastAsia="zh-CN"/>
        </w:rPr>
        <w:t>南通市崇川区江海大道488号金贸国际25楼（宏信天德工程顾问有限公司开标室）</w:t>
      </w:r>
      <w:r>
        <w:rPr>
          <w:rFonts w:hint="eastAsia" w:ascii="Times New Roman" w:hAnsi="Times New Roman" w:eastAsia="宋体" w:cs="宋体"/>
          <w:sz w:val="24"/>
          <w:szCs w:val="24"/>
          <w:highlight w:val="none"/>
        </w:rPr>
        <w:t>，如有变动另行通知。</w:t>
      </w:r>
    </w:p>
    <w:p>
      <w:pPr>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五、开启</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11</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13</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2、开启文件及开标地点：</w:t>
      </w:r>
      <w:r>
        <w:rPr>
          <w:rFonts w:hint="eastAsia" w:ascii="Times New Roman" w:hAnsi="Times New Roman" w:eastAsia="宋体" w:cs="Times New Roman"/>
          <w:sz w:val="24"/>
          <w:szCs w:val="24"/>
          <w:u w:val="single"/>
          <w:lang w:eastAsia="zh-CN"/>
        </w:rPr>
        <w:t>南通市崇川区江海大道488号金贸国际25楼（宏信天德工程顾问有限公司开标室）</w:t>
      </w:r>
      <w:r>
        <w:rPr>
          <w:rFonts w:hint="eastAsia" w:ascii="Times New Roman" w:hAnsi="Times New Roman" w:eastAsia="宋体" w:cs="宋体"/>
          <w:sz w:val="24"/>
          <w:szCs w:val="24"/>
          <w:highlight w:val="none"/>
        </w:rPr>
        <w:t>。</w:t>
      </w:r>
    </w:p>
    <w:p>
      <w:pPr>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六、公告期限</w:t>
      </w:r>
      <w:bookmarkEnd w:id="6"/>
      <w:bookmarkEnd w:id="7"/>
      <w:bookmarkEnd w:id="8"/>
      <w:bookmarkEnd w:id="9"/>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kern w:val="0"/>
          <w:sz w:val="24"/>
          <w:szCs w:val="24"/>
          <w:highlight w:val="none"/>
        </w:rPr>
        <w:t>自本公告发布之日起3个工作日。</w:t>
      </w:r>
    </w:p>
    <w:p>
      <w:pPr>
        <w:spacing w:line="360" w:lineRule="auto"/>
        <w:ind w:firstLine="482" w:firstLineChars="200"/>
        <w:textAlignment w:val="baseline"/>
        <w:rPr>
          <w:rFonts w:ascii="Times New Roman" w:hAnsi="Times New Roman" w:eastAsia="宋体" w:cs="宋体"/>
          <w:bCs/>
          <w:sz w:val="24"/>
          <w:szCs w:val="24"/>
          <w:highlight w:val="none"/>
        </w:rPr>
      </w:pPr>
      <w:r>
        <w:rPr>
          <w:rFonts w:hint="eastAsia" w:ascii="Times New Roman" w:hAnsi="Times New Roman" w:eastAsia="宋体" w:cs="宋体"/>
          <w:b/>
          <w:bCs/>
          <w:sz w:val="24"/>
          <w:szCs w:val="24"/>
          <w:highlight w:val="none"/>
        </w:rPr>
        <w:t>七、</w:t>
      </w:r>
      <w:r>
        <w:rPr>
          <w:rFonts w:hint="eastAsia" w:ascii="Times New Roman" w:hAnsi="Times New Roman" w:eastAsia="宋体" w:cs="宋体"/>
          <w:b/>
          <w:sz w:val="24"/>
          <w:szCs w:val="24"/>
          <w:highlight w:val="none"/>
        </w:rPr>
        <w:t>其他补充事宜</w:t>
      </w:r>
    </w:p>
    <w:p>
      <w:pPr>
        <w:spacing w:line="360" w:lineRule="auto"/>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1、</w:t>
      </w:r>
      <w:r>
        <w:rPr>
          <w:rFonts w:hint="eastAsia" w:ascii="Times New Roman" w:hAnsi="Times New Roman" w:eastAsia="宋体" w:cs="宋体"/>
          <w:kern w:val="0"/>
          <w:sz w:val="24"/>
          <w:szCs w:val="24"/>
          <w:highlight w:val="none"/>
          <w:lang w:val="en-US" w:eastAsia="zh-CN"/>
        </w:rPr>
        <w:t>磋商保证金：免收。</w:t>
      </w:r>
      <w:r>
        <w:rPr>
          <w:rFonts w:hint="eastAsia" w:ascii="Times New Roman" w:hAnsi="Times New Roman" w:eastAsia="宋体" w:cs="宋体"/>
          <w:kern w:val="0"/>
          <w:sz w:val="24"/>
          <w:szCs w:val="24"/>
          <w:highlight w:val="none"/>
        </w:rPr>
        <w:t>本项目不收取磋商保证金，采购文件中涉及磋商保证金的事项，均按免收保证金执行。</w:t>
      </w:r>
    </w:p>
    <w:p>
      <w:pPr>
        <w:spacing w:line="360" w:lineRule="auto"/>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2、</w:t>
      </w:r>
      <w:r>
        <w:rPr>
          <w:rFonts w:hint="default" w:ascii="Times New Roman" w:hAnsi="Times New Roman" w:eastAsia="宋体" w:cs="宋体"/>
          <w:kern w:val="0"/>
          <w:sz w:val="24"/>
          <w:szCs w:val="24"/>
          <w:highlight w:val="none"/>
          <w:lang w:val="en-US" w:eastAsia="zh-CN"/>
        </w:rPr>
        <w:t>项目磋商活动模式：</w:t>
      </w:r>
      <w:r>
        <w:rPr>
          <w:rFonts w:hint="eastAsia" w:ascii="Times New Roman" w:hAnsi="Times New Roman" w:eastAsia="宋体" w:cs="宋体"/>
          <w:kern w:val="0"/>
          <w:sz w:val="24"/>
          <w:szCs w:val="24"/>
          <w:highlight w:val="none"/>
          <w:lang w:val="en-US" w:eastAsia="zh-CN"/>
        </w:rPr>
        <w:t>现场磋商模式</w:t>
      </w:r>
      <w:r>
        <w:rPr>
          <w:rFonts w:hint="default" w:ascii="Times New Roman" w:hAnsi="Times New Roman" w:eastAsia="宋体" w:cs="宋体"/>
          <w:kern w:val="0"/>
          <w:sz w:val="24"/>
          <w:szCs w:val="24"/>
          <w:highlight w:val="none"/>
          <w:lang w:val="en-US" w:eastAsia="zh-CN"/>
        </w:rPr>
        <w:t>。</w:t>
      </w:r>
    </w:p>
    <w:p>
      <w:pPr>
        <w:spacing w:line="360" w:lineRule="auto"/>
        <w:ind w:firstLine="480" w:firstLineChars="200"/>
        <w:rPr>
          <w:rFonts w:hint="default" w:ascii="Times New Roman" w:hAnsi="Times New Roman" w:eastAsia="宋体" w:cs="宋体"/>
          <w:kern w:val="0"/>
          <w:sz w:val="24"/>
          <w:szCs w:val="24"/>
          <w:highlight w:val="none"/>
          <w:lang w:val="en-US" w:eastAsia="zh-CN"/>
        </w:rPr>
      </w:pPr>
      <w:r>
        <w:rPr>
          <w:rFonts w:hint="default" w:ascii="Times New Roman" w:hAnsi="Times New Roman" w:eastAsia="宋体" w:cs="宋体"/>
          <w:kern w:val="0"/>
          <w:sz w:val="24"/>
          <w:szCs w:val="24"/>
          <w:highlight w:val="none"/>
          <w:lang w:val="en-US" w:eastAsia="zh-CN"/>
        </w:rPr>
        <w:t>3、项目演示、样品、答辩等：无。</w:t>
      </w:r>
    </w:p>
    <w:p>
      <w:pPr>
        <w:spacing w:line="360" w:lineRule="auto"/>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lang w:val="en-US" w:eastAsia="zh-CN"/>
        </w:rPr>
        <w:t>4、</w:t>
      </w:r>
      <w:r>
        <w:rPr>
          <w:rFonts w:hint="eastAsia" w:ascii="Times New Roman" w:hAnsi="Times New Roman" w:eastAsia="宋体" w:cs="宋体"/>
          <w:kern w:val="0"/>
          <w:sz w:val="24"/>
          <w:szCs w:val="24"/>
          <w:highlight w:val="none"/>
        </w:rPr>
        <w:t>对项目需求部分（供应商其他资格要求、项目需求、评分标准）的询问、质疑请向采购人提出，由采购人负责答复；对项目磋商文件其它部分的询问请向采购人或招标代理提出。</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kern w:val="0"/>
          <w:sz w:val="24"/>
          <w:szCs w:val="24"/>
          <w:highlight w:val="none"/>
          <w:lang w:val="en-US" w:eastAsia="zh-CN"/>
        </w:rPr>
        <w:t>5</w:t>
      </w:r>
      <w:r>
        <w:rPr>
          <w:rFonts w:hint="eastAsia" w:ascii="Times New Roman" w:hAnsi="Times New Roman" w:eastAsia="宋体" w:cs="宋体"/>
          <w:kern w:val="0"/>
          <w:sz w:val="24"/>
          <w:szCs w:val="24"/>
          <w:highlight w:val="none"/>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cs="宋体"/>
          <w:b/>
          <w:sz w:val="24"/>
          <w:szCs w:val="24"/>
        </w:rPr>
        <w:t>八、凡对本次采购提出询问，请按以下方式联系</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地址：江苏省南通市青年中路60号</w:t>
      </w:r>
    </w:p>
    <w:p>
      <w:pPr>
        <w:spacing w:line="360" w:lineRule="auto"/>
        <w:ind w:firstLine="480" w:firstLineChars="200"/>
        <w:rPr>
          <w:rFonts w:hint="eastAsia" w:ascii="Times New Roman" w:hAnsi="Times New Roman" w:eastAsia="宋体" w:cs="宋体"/>
          <w:bCs/>
          <w:sz w:val="24"/>
          <w:lang w:eastAsia="zh-CN"/>
        </w:rPr>
      </w:pPr>
      <w:r>
        <w:rPr>
          <w:rFonts w:hint="eastAsia" w:ascii="Times New Roman" w:hAnsi="Times New Roman" w:eastAsia="宋体" w:cs="宋体"/>
          <w:bCs/>
          <w:sz w:val="24"/>
        </w:rPr>
        <w:t>联系人：钱</w:t>
      </w:r>
      <w:r>
        <w:rPr>
          <w:rFonts w:hint="eastAsia" w:ascii="Times New Roman" w:hAnsi="Times New Roman" w:eastAsia="宋体" w:cs="宋体"/>
          <w:bCs/>
          <w:sz w:val="24"/>
          <w:lang w:eastAsia="zh-CN"/>
        </w:rPr>
        <w:t>先生</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联系电话：0513-85116168</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3、项目联系方式</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项目联系人：董安国</w:t>
      </w:r>
    </w:p>
    <w:p>
      <w:pPr>
        <w:spacing w:line="360" w:lineRule="auto"/>
        <w:ind w:firstLine="480" w:firstLineChars="200"/>
        <w:textAlignment w:val="baseline"/>
        <w:rPr>
          <w:rFonts w:ascii="Times New Roman" w:hAnsi="Times New Roman" w:eastAsia="宋体" w:cs="宋体"/>
          <w:kern w:val="0"/>
          <w:sz w:val="24"/>
        </w:rPr>
      </w:pPr>
      <w:r>
        <w:rPr>
          <w:rFonts w:hint="eastAsia" w:ascii="Times New Roman" w:hAnsi="Times New Roman" w:eastAsia="宋体"/>
          <w:sz w:val="24"/>
          <w:szCs w:val="24"/>
        </w:rPr>
        <w:t>电　话：</w:t>
      </w:r>
      <w:r>
        <w:rPr>
          <w:rFonts w:hint="eastAsia" w:ascii="Times New Roman" w:hAnsi="Times New Roman" w:eastAsia="宋体" w:cs="宋体"/>
          <w:kern w:val="0"/>
          <w:sz w:val="24"/>
        </w:rPr>
        <w:t>18912299056</w:t>
      </w:r>
    </w:p>
    <w:p>
      <w:pPr>
        <w:pStyle w:val="9"/>
        <w:rPr>
          <w:kern w:val="0"/>
        </w:rPr>
      </w:pPr>
      <w:r>
        <w:rPr>
          <w:kern w:val="0"/>
        </w:rPr>
        <w:br w:type="page"/>
      </w:r>
    </w:p>
    <w:p>
      <w:pPr>
        <w:pStyle w:val="3"/>
        <w:keepNext w:val="0"/>
        <w:keepLines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投标供应商须知</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二、本项目涉及到的现场勘察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1、根据自身需要，供应商可在响应文件递交之日前对有关现场和周围环境进行勘察，以获取编制响应文件和签署合同所需的信息。勘察现场所发生的费用由供应商自己承担。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2、采购人向供应商提供的有关现场的资料和数据，是采购人现有的并认为能使供应商可利用的资料。采购人对供应商由此而做出的推论、理解和结论概不负责。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3、经采购人允许，供应商可为勘察目的进入采购人的项目现场，但供应商不得因此使采购人承担有关的责任和蒙受损失。供应商应承担勘察现场的责任和风险。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三、磋商文件的澄清、修改、答疑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4、澄清或者修改的内容可能影响到响应文件编制的，代理机构应当在提交响应文件接收截止之日3个工作日前，发布澄清或者修改公告，不足3个工作日的，当顺延提交响应文件接收截止时间。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四、响应文件的编制及装订</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供应商按磋商文件要求编写响应文件，并牢固装订成册。响应文件均需采用A4纸（图纸等除外）装订。响应文件不得行间插字、涂改、增删，如修改错漏处，须经响应文件签署人签字并加盖公章。</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五、响应文件的份数和签署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pPr>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响应文件均为一式肆份，其中“正本”壹份和“副本”叁份。</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3、在每份响应文件上要明确标注项目名称、对应的响应文件名称、供应商的全称、日期、“正本”、“副本”字样。“正本”和“副本”若有差异，概以“正本”为准。</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5、响应文件中的所有“正本”，其正文内容须按磋商文件要求由供应商法定代表人或被授权人签字（或盖章）并加盖单位公章。“副本”可复印，但须加盖单位公章。</w:t>
      </w:r>
    </w:p>
    <w:p>
      <w:pPr>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六、响应文件的密封及标记</w:t>
      </w:r>
    </w:p>
    <w:p>
      <w:pPr>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的“正本”或“副本”中，均不得含有报价响应文件中报价表（报价单）内的任何项目价格，否则作无效投标处理。</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4、本项目报价为固定价格报价，供应商应充分考虑服务实施期间各类市场价格和政策性价格调整因素，确定价格风险计入总报价，今后不作调整。（</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报价应包括完成本项目所需的一切费用，包括但不限于</w:t>
      </w:r>
      <w:r>
        <w:rPr>
          <w:rFonts w:hint="eastAsia" w:ascii="宋体" w:hAnsi="宋体"/>
          <w:bCs/>
          <w:sz w:val="24"/>
          <w:szCs w:val="24"/>
        </w:rPr>
        <w:t>服务的成本、利润、税金、开办费、政策性调整风险费等的所有费用；人工费、检测费、管理费；国家税务部门规定的各项税金；相关伴随服务以及售后服务等一切费用</w:t>
      </w:r>
      <w:r>
        <w:rPr>
          <w:rFonts w:hint="eastAsia" w:ascii="Times New Roman" w:hAnsi="Times New Roman" w:eastAsia="宋体" w:cs="宋体"/>
          <w:sz w:val="24"/>
          <w:szCs w:val="24"/>
        </w:rPr>
        <w:t>。同时，报价也应包含合同履行过程中可能发生的一切风险。）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1、磋商文件每套售价300元，在</w:t>
      </w:r>
      <w:r>
        <w:rPr>
          <w:rFonts w:hint="eastAsia" w:ascii="Times New Roman" w:hAnsi="Times New Roman" w:eastAsia="宋体" w:cs="宋体"/>
          <w:sz w:val="24"/>
          <w:szCs w:val="24"/>
          <w:lang w:eastAsia="zh-CN"/>
        </w:rPr>
        <w:t>报名</w:t>
      </w:r>
      <w:r>
        <w:rPr>
          <w:rFonts w:hint="eastAsia" w:ascii="Times New Roman" w:hAnsi="Times New Roman" w:eastAsia="宋体" w:cs="宋体"/>
          <w:sz w:val="24"/>
          <w:szCs w:val="24"/>
        </w:rPr>
        <w:t>的同时提交给招标代理机构。</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2、本次</w:t>
      </w:r>
      <w:r>
        <w:rPr>
          <w:rFonts w:hint="eastAsia" w:ascii="Times New Roman" w:hAnsi="Times New Roman" w:eastAsia="宋体" w:cs="宋体"/>
          <w:sz w:val="24"/>
          <w:szCs w:val="24"/>
          <w:lang w:eastAsia="zh-CN"/>
        </w:rPr>
        <w:t>磋商</w:t>
      </w:r>
      <w:r>
        <w:rPr>
          <w:rFonts w:hint="eastAsia" w:ascii="Times New Roman" w:hAnsi="Times New Roman" w:eastAsia="宋体" w:cs="宋体"/>
          <w:sz w:val="24"/>
          <w:szCs w:val="24"/>
        </w:rPr>
        <w:t>向成交供应商收取代理服务费，按国家发改委颁发的[2011]534号文《国家发改委关于降低部分建设项目收费标准规范收费行为等有关问题的通知》的有关规定执行，具体如下：中标服务费按差额定率累进法计算，以成交通知书确定的中标金额作为收费的计算依据，按招标收费标准下浮40%计算，不满1500元的，按1500元收取。</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1、从磋商响应文件接收截止之日算起，45个“日历天”内响应文件应保持有效。有效期短于这个规定期限的磋商，将被拒绝。</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十一、未尽事宜</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无。</w:t>
      </w:r>
    </w:p>
    <w:p>
      <w:pPr>
        <w:widowControl/>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lang w:val="zh-CN"/>
        </w:rPr>
        <w:t>请供应商在网上报名前和制作</w:t>
      </w:r>
      <w:r>
        <w:rPr>
          <w:rFonts w:hint="eastAsia" w:ascii="Times New Roman" w:hAnsi="Times New Roman" w:eastAsia="宋体" w:cs="Times New Roman"/>
          <w:b/>
          <w:kern w:val="0"/>
          <w:sz w:val="24"/>
          <w:szCs w:val="24"/>
          <w:lang w:val="zh-CN"/>
        </w:rPr>
        <w:t>响应</w:t>
      </w:r>
      <w:r>
        <w:rPr>
          <w:rFonts w:ascii="Times New Roman" w:hAnsi="Times New Roman" w:eastAsia="宋体" w:cs="Times New Roman"/>
          <w:b/>
          <w:kern w:val="0"/>
          <w:sz w:val="24"/>
          <w:szCs w:val="24"/>
          <w:lang w:val="zh-CN"/>
        </w:rPr>
        <w:t>文件时仔细研究项目需求说明。</w:t>
      </w:r>
      <w:r>
        <w:rPr>
          <w:rFonts w:ascii="Times New Roman" w:hAnsi="Times New Roman" w:eastAsia="宋体" w:cs="Times New Roman"/>
          <w:kern w:val="0"/>
          <w:sz w:val="24"/>
          <w:szCs w:val="24"/>
          <w:lang w:val="zh-CN"/>
        </w:rPr>
        <w:t>供应商不能简单照搬照抄采购人项目需求说明中的技术、商务要求，必须作实事求是的响应。如照搬照抄项目需求说明中的技术、商务要求的，</w:t>
      </w:r>
      <w:r>
        <w:rPr>
          <w:rFonts w:hint="eastAsia" w:ascii="Times New Roman" w:hAnsi="Times New Roman" w:eastAsia="宋体" w:cs="Times New Roman"/>
          <w:kern w:val="0"/>
          <w:sz w:val="24"/>
          <w:szCs w:val="24"/>
          <w:lang w:val="zh-CN"/>
        </w:rPr>
        <w:t>成交</w:t>
      </w:r>
      <w:r>
        <w:rPr>
          <w:rFonts w:ascii="Times New Roman" w:hAnsi="Times New Roman" w:eastAsia="宋体" w:cs="Times New Roman"/>
          <w:kern w:val="0"/>
          <w:sz w:val="24"/>
          <w:szCs w:val="24"/>
          <w:lang w:val="zh-CN"/>
        </w:rPr>
        <w:t>后供应商在同采购人签订合同和履约环节中不得提出异议，一切后果和损失由</w:t>
      </w:r>
      <w:r>
        <w:rPr>
          <w:rFonts w:hint="eastAsia" w:ascii="Times New Roman" w:hAnsi="Times New Roman" w:eastAsia="宋体" w:cs="Times New Roman"/>
          <w:kern w:val="0"/>
          <w:sz w:val="24"/>
          <w:szCs w:val="24"/>
          <w:lang w:val="zh-CN"/>
        </w:rPr>
        <w:t>成交</w:t>
      </w:r>
      <w:r>
        <w:rPr>
          <w:rFonts w:ascii="Times New Roman" w:hAnsi="Times New Roman" w:eastAsia="宋体" w:cs="Times New Roman"/>
          <w:kern w:val="0"/>
          <w:sz w:val="24"/>
          <w:szCs w:val="24"/>
          <w:lang w:val="zh-CN"/>
        </w:rPr>
        <w:t>供应商承担。如供应商提供的货物和服务同采购人提出的项目需求说明中的技术、商务要求不同的，必须在</w:t>
      </w:r>
      <w:r>
        <w:rPr>
          <w:rFonts w:hint="eastAsia" w:ascii="Times New Roman" w:hAnsi="Times New Roman" w:eastAsia="宋体" w:cs="Times New Roman"/>
          <w:kern w:val="0"/>
          <w:sz w:val="24"/>
          <w:szCs w:val="24"/>
          <w:lang w:val="zh-CN"/>
        </w:rPr>
        <w:t>《技术商务条款响应正负偏离表》</w:t>
      </w:r>
      <w:r>
        <w:rPr>
          <w:rFonts w:ascii="Times New Roman" w:hAnsi="Times New Roman" w:eastAsia="宋体" w:cs="Times New Roman"/>
          <w:kern w:val="0"/>
          <w:sz w:val="24"/>
          <w:szCs w:val="24"/>
        </w:rPr>
        <w:t>上明示，如不明示的视同完全响应</w:t>
      </w:r>
      <w:r>
        <w:rPr>
          <w:rFonts w:ascii="Times New Roman" w:hAnsi="Times New Roman" w:eastAsia="宋体" w:cs="Times New Roman"/>
          <w:kern w:val="0"/>
          <w:sz w:val="24"/>
          <w:szCs w:val="24"/>
          <w:lang w:val="zh-CN"/>
        </w:rPr>
        <w:t>。</w:t>
      </w:r>
    </w:p>
    <w:p>
      <w:pPr>
        <w:spacing w:line="360" w:lineRule="auto"/>
        <w:ind w:firstLine="496" w:firstLineChars="206"/>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一、</w:t>
      </w:r>
      <w:r>
        <w:rPr>
          <w:rFonts w:hint="eastAsia" w:ascii="Times New Roman" w:hAnsi="Times New Roman" w:eastAsia="宋体" w:cs="宋体"/>
          <w:b/>
          <w:sz w:val="24"/>
          <w:szCs w:val="24"/>
        </w:rPr>
        <w:t>采购标的需实现的功能或者目标,以及为落实政府采购政策需满足的要求</w:t>
      </w:r>
    </w:p>
    <w:p>
      <w:pPr>
        <w:spacing w:line="360" w:lineRule="auto"/>
        <w:ind w:firstLine="480" w:firstLineChars="200"/>
        <w:textAlignment w:val="baseline"/>
        <w:rPr>
          <w:rFonts w:hint="eastAsia" w:ascii="Times New Roman" w:hAnsi="Times New Roman" w:eastAsia="宋体" w:cs="宋体"/>
          <w:sz w:val="24"/>
          <w:szCs w:val="24"/>
          <w:lang w:val="zh-CN" w:eastAsia="zh-CN"/>
        </w:rPr>
      </w:pPr>
      <w:r>
        <w:rPr>
          <w:rFonts w:hint="eastAsia" w:ascii="Times New Roman" w:hAnsi="Times New Roman" w:eastAsia="宋体" w:cs="宋体"/>
          <w:sz w:val="24"/>
          <w:szCs w:val="24"/>
          <w:lang w:val="zh-CN" w:eastAsia="zh-CN"/>
        </w:rPr>
        <w:t>南通市第三人民医院经过几年的安全建设，在基础防护方面已经有了很大的提高，基本达到等保的要求。南通市第三人民医院为了满足电子病历评级及等级保护相关要求，需要加强终端准入及桌面管理的建设、终端防病毒的扩容和数据库高性能复制平台的系统建设。这些方面都是医院的基础安全防护，和业务关联紧密，是需要重点防护的内容。加强这些方面的建设既可以满足等级保护的相关要求，又能够保证信息系统整体的安全保护能力。</w:t>
      </w:r>
    </w:p>
    <w:p>
      <w:pPr>
        <w:spacing w:line="360" w:lineRule="auto"/>
        <w:ind w:firstLine="496" w:firstLineChars="206"/>
        <w:textAlignment w:val="baseline"/>
        <w:rPr>
          <w:rFonts w:hint="eastAsia" w:ascii="Times New Roman" w:hAnsi="Times New Roman" w:eastAsia="宋体" w:cs="宋体"/>
          <w:b/>
          <w:sz w:val="24"/>
          <w:szCs w:val="24"/>
          <w:lang w:eastAsia="zh-CN"/>
        </w:rPr>
      </w:pPr>
      <w:r>
        <w:rPr>
          <w:rFonts w:hint="eastAsia" w:ascii="Times New Roman" w:hAnsi="Times New Roman" w:eastAsia="宋体" w:cs="宋体"/>
          <w:b/>
          <w:sz w:val="24"/>
          <w:szCs w:val="24"/>
          <w:lang w:eastAsia="zh-CN"/>
        </w:rPr>
        <w:t>二、采购标的需执行的国家相关标准、行业标准、地方标准或者其他标准、规范</w:t>
      </w:r>
    </w:p>
    <w:p>
      <w:pPr>
        <w:spacing w:line="360" w:lineRule="auto"/>
        <w:ind w:firstLine="480" w:firstLineChars="200"/>
        <w:rPr>
          <w:rFonts w:hint="eastAsia" w:ascii="Times New Roman" w:hAnsi="Times New Roman" w:eastAsia="宋体" w:cs="Times New Roman"/>
          <w:kern w:val="0"/>
          <w:sz w:val="24"/>
          <w:szCs w:val="24"/>
          <w:lang w:val="zh-CN" w:eastAsia="zh-CN"/>
        </w:rPr>
      </w:pPr>
      <w:r>
        <w:rPr>
          <w:rFonts w:hint="eastAsia" w:ascii="Times New Roman" w:hAnsi="Times New Roman" w:eastAsia="宋体" w:cs="Times New Roman"/>
          <w:kern w:val="0"/>
          <w:sz w:val="24"/>
          <w:szCs w:val="24"/>
          <w:lang w:val="zh-CN" w:eastAsia="zh-CN"/>
        </w:rPr>
        <w:t>采购标的的技术标准按国家标准执行，无国家标准的，按行业标准执行，无国家和行业标准的，按企业标准执行；但在采购文件中有特别要求的，按采购文件中规定的要求执行，并且符合相关法律、法规规定的要求。</w:t>
      </w:r>
    </w:p>
    <w:p>
      <w:pPr>
        <w:pStyle w:val="13"/>
        <w:snapToGrid w:val="0"/>
        <w:spacing w:before="120" w:after="120" w:line="360" w:lineRule="auto"/>
        <w:ind w:firstLine="482" w:firstLineChars="200"/>
        <w:outlineLvl w:val="0"/>
        <w:rPr>
          <w:rFonts w:hint="eastAsia" w:ascii="Times New Roman" w:hAnsi="Times New Roman" w:eastAsia="宋体" w:cs="宋体"/>
          <w:b/>
          <w:kern w:val="2"/>
          <w:sz w:val="24"/>
          <w:szCs w:val="24"/>
          <w:lang w:val="en-US" w:eastAsia="zh-CN" w:bidi="ar-SA"/>
        </w:rPr>
      </w:pPr>
      <w:r>
        <w:rPr>
          <w:rFonts w:hint="eastAsia" w:ascii="Times New Roman" w:hAnsi="Times New Roman" w:eastAsia="宋体" w:cs="宋体"/>
          <w:b/>
          <w:kern w:val="2"/>
          <w:sz w:val="24"/>
          <w:szCs w:val="24"/>
          <w:lang w:val="en-US" w:eastAsia="zh-CN" w:bidi="ar-SA"/>
        </w:rPr>
        <w:t>三、采购标的需满足的质量、安全、技术规格、物理特性等要求</w:t>
      </w:r>
    </w:p>
    <w:p>
      <w:pPr>
        <w:pStyle w:val="13"/>
        <w:snapToGrid w:val="0"/>
        <w:spacing w:before="120" w:after="120" w:line="360" w:lineRule="auto"/>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1、准入及桌面管理</w:t>
      </w:r>
    </w:p>
    <w:tbl>
      <w:tblPr>
        <w:tblStyle w:val="21"/>
        <w:tblW w:w="9024" w:type="dxa"/>
        <w:jc w:val="center"/>
        <w:tblLayout w:type="autofit"/>
        <w:tblCellMar>
          <w:top w:w="0" w:type="dxa"/>
          <w:left w:w="108" w:type="dxa"/>
          <w:bottom w:w="0" w:type="dxa"/>
          <w:right w:w="108" w:type="dxa"/>
        </w:tblCellMar>
      </w:tblPr>
      <w:tblGrid>
        <w:gridCol w:w="2056"/>
        <w:gridCol w:w="6968"/>
      </w:tblGrid>
      <w:tr>
        <w:tblPrEx>
          <w:tblCellMar>
            <w:top w:w="0" w:type="dxa"/>
            <w:left w:w="108" w:type="dxa"/>
            <w:bottom w:w="0" w:type="dxa"/>
            <w:right w:w="108" w:type="dxa"/>
          </w:tblCellMar>
        </w:tblPrEx>
        <w:trPr>
          <w:trHeight w:val="27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指标项</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技术要求</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系统功能</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★可以为管理员提供丰富的终端安全管理功能，包括网络准入控制、日志审计、移动介质管理、外设管理、补丁管理、运维管理、水印管理等核心管理功能；提供1000个终端准入管理授权。</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产品架构</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★标准2U机架式准入设备，国产CPU，内存≥8G，原厂三年质保。</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接入方式</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支持旁路、干路、策略路由等多种方式接入。</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入网合规检测</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系统自带默认安全合规检测库，支持操作系统版本检测，系统防火墙开启检测，来宾帐户检查，系统垃圾文件检查，系统共享检测，机器名称检测检测，是否开启屏保检测，安装补丁检测，进程检测、软件检测等；软件检测包括安装指定软件不能入网，或者不安装指定软件不能入网。计算机入网后，在使用的过程中，合规检测也及时生效，在这个过程中，当发现终端计算机合规检测不合格时，立即阻止终端接入网络，同时在终端计算机上有详细的违规信息弹窗提示，并可以对于当前终端的违规情况进行评分；在系统的管理界面中也有该违规信息的详细展示。</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802、1X协议</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实现认证过的客户端才能接入交换机。终端使用者，可/以进行登录与注销操作。支持与GUEST-VLAN联动，未登录的客户端，自动加入GUEST-VLAN，只有登录成功的客户端，才能加入网络。</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网络资产测绘</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系统可以对于网络资产进行测绘梳理，无需在终端安装任何程序，可以探测所有在用IP，并且识别出设备类型，如计算机、打印机、摄像头、交换机、路由器、移动设备、防火墙、存储、虚拟化、AP、网桥、温度传感器等网络设备，并可以进行各类设备数量统计。同时可以对于内网中的设备操作系统进行识别梳理，识别包括Window、Linux、安卓、MACOS、西门子、HP等嵌入式系统等操作系统，并生成相关统计报表。</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指纹库管理</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系统自带指纹库，可以对于所有接入网络设备定义指纹库，并可进行相应管理。</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系统支持旁路阻断接入</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阻断界面以WEB形式展现，在阻断界面中提供Windows、信创终端、MacOS终端、安卓终端下载。</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设备可视化</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以饼状图的形式展示接入网络设备的操作系统信息，至少可展示linux、Windows、安卓、MacOs系统各有多少终端接入。</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IP可视化</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系统可以以图形形式展示每个网段中所有IP地址占用情况，未占用和以占用以不同颜色图形标识。可展示每个IP的历史使用记录，包括这个IP占用的设备类型，占用时间等信息。</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系统支持多种入网方式</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包括安装客户端合规入网，强制注册入网，管理员审批入网，用户名/密码，UKey认证入网，手机短信认证入网，指纹仪认证等。</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入网信息查询</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管理员可以查询所有入网用户的信息，包括：姓名、部门、入网时间、入网认证方式等信息。</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非法外联管理</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系统具备非法外联管理功能，终端计算机一旦和互联网连通，系统将进行报警，同时系统可自动进行断网、关机、重启、锁屏等操作。</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移动端准入支持</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终端准入支持PDA和PAD等移动设备</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通过SNMP协议管控终端接入情况</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可以通过SNMP协议对于网络终端接入交换机的情况进行展示和管理；系统可以展示每个交换上设备的面板，以不同颜色标注交换机是否连接终端，可以展示交换机每个端口连接的终端设备的IP地址。</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自身具备认证服务功能</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系统自身具备用户认证服务功能，不接受调用第三方的认证服务器。</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临时认证</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针对单位内部服务器上的办公系统访问进行控制，没安装客户端的计算机不能访问该办公系统，可以提供WEB界面，输入用户名、密码，可以进行临时认证。</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系统信息</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管理端可以查看客户端的系统信息、IP地址、MAC地址、客户端版本号、CPU/内存/硬盘温度。</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系统兼容性</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系统能兼容Windows各系统，客户端能兼容Windows、安卓、麒麟、统信操作系统，服务端兼容Windows、麒麟、统信系统，管理端兼容Windows、麒麟、统信操作系统，均兼容麒麟、统信x86构架和arm构架。</w:t>
            </w:r>
          </w:p>
        </w:tc>
      </w:tr>
      <w:tr>
        <w:tblPrEx>
          <w:tblCellMar>
            <w:top w:w="0" w:type="dxa"/>
            <w:left w:w="108" w:type="dxa"/>
            <w:bottom w:w="0" w:type="dxa"/>
            <w:right w:w="108" w:type="dxa"/>
          </w:tblCellMar>
        </w:tblPrEx>
        <w:trPr>
          <w:trHeight w:val="1658"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远程屏幕协助</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管理员可以快速接管（在1秒钟内接管终端电脑屏幕）远程监看或者（控制效果流畅 ）客户端的计算机。当对终端计算机进行远程控制时，客户互传终端计算机中的文件，针对终端为双屏的电脑，管理员可以点击主/副屏切换进行控制，客户端本地也可以邀请管理员远程操作自己的电脑。</w:t>
            </w:r>
          </w:p>
        </w:tc>
      </w:tr>
      <w:tr>
        <w:tblPrEx>
          <w:tblCellMar>
            <w:top w:w="0" w:type="dxa"/>
            <w:left w:w="108" w:type="dxa"/>
            <w:bottom w:w="0" w:type="dxa"/>
            <w:right w:w="108" w:type="dxa"/>
          </w:tblCellMar>
        </w:tblPrEx>
        <w:trPr>
          <w:trHeight w:val="96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bCs/>
                <w:sz w:val="24"/>
                <w:szCs w:val="24"/>
              </w:rPr>
              <w:t>远程协助安卓设备</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bCs/>
                <w:sz w:val="24"/>
                <w:szCs w:val="24"/>
              </w:rPr>
              <w:t>管理员可以对于医院的PDA、诊间叫号屏等安卓系统相关设备进行远程屏幕控制，管理员可以在一秒内接管安卓设备的屏幕，控制速度快，无卡顿。</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需</w:t>
            </w:r>
            <w:r>
              <w:rPr>
                <w:rFonts w:hint="eastAsia" w:ascii="宋体" w:hAnsi="宋体" w:eastAsia="宋体" w:cs="宋体"/>
                <w:color w:val="000000"/>
                <w:sz w:val="24"/>
                <w:szCs w:val="24"/>
              </w:rPr>
              <w:t>提供截图证明）</w:t>
            </w:r>
          </w:p>
        </w:tc>
      </w:tr>
      <w:tr>
        <w:tblPrEx>
          <w:tblCellMar>
            <w:top w:w="0" w:type="dxa"/>
            <w:left w:w="108" w:type="dxa"/>
            <w:bottom w:w="0" w:type="dxa"/>
            <w:right w:w="108" w:type="dxa"/>
          </w:tblCellMar>
        </w:tblPrEx>
        <w:trPr>
          <w:trHeight w:val="120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水印管理</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支持屏幕水印，全屏展示机器名、IP、MAC、日期；支持文档水印，文档页面上显示机器名、IP、MAC、日期，可以针对水印的</w:t>
            </w:r>
          </w:p>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稀疏进行设置；支持打印水印功能，可以在打印出来的纸张上显示机器MAC、日期以及自定义文本内容；可设置水印文字的字体、文字大小、文字倾斜角度、例外打印机名称，可设置单行水印的水平垂直坐标及水印平铺的水平垂直间隔。</w:t>
            </w:r>
          </w:p>
        </w:tc>
      </w:tr>
      <w:tr>
        <w:tblPrEx>
          <w:tblCellMar>
            <w:top w:w="0" w:type="dxa"/>
            <w:left w:w="108" w:type="dxa"/>
            <w:bottom w:w="0" w:type="dxa"/>
            <w:right w:w="108" w:type="dxa"/>
          </w:tblCellMar>
        </w:tblPrEx>
        <w:trPr>
          <w:trHeight w:val="96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桌面助手</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管理员开启桌面助手策略，终端计算机桌面底层一直展示半透明窗口，管理员可以配置窗口上多个快捷方式的网址和打开浏览器名称，用户点击每个快捷方式会打开相应系统。管理员可以以九宫格的形式设置桌面助手的固定展示位置。</w:t>
            </w:r>
          </w:p>
        </w:tc>
      </w:tr>
      <w:tr>
        <w:tblPrEx>
          <w:tblCellMar>
            <w:top w:w="0" w:type="dxa"/>
            <w:left w:w="108" w:type="dxa"/>
            <w:bottom w:w="0" w:type="dxa"/>
            <w:right w:w="108" w:type="dxa"/>
          </w:tblCellMar>
        </w:tblPrEx>
        <w:trPr>
          <w:trHeight w:val="96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软件中心</w:t>
            </w:r>
          </w:p>
        </w:tc>
        <w:tc>
          <w:tcPr>
            <w:tcW w:w="6968" w:type="dxa"/>
            <w:tcBorders>
              <w:top w:val="single" w:color="000000" w:sz="4" w:space="0"/>
              <w:left w:val="single" w:color="000000" w:sz="4" w:space="0"/>
              <w:bottom w:val="single" w:color="000000" w:sz="4" w:space="0"/>
              <w:right w:val="single" w:color="000000" w:sz="4" w:space="0"/>
            </w:tcBorders>
          </w:tcPr>
          <w:p>
            <w:pPr>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管理员可以将单位需要的软件安装包上传到服务器上，可以设置软件的名称、分类、版本号和备注，软件中心以WEB形式展示，用户可以按照分类选择自己需要的软件进行下载安装。</w:t>
            </w:r>
          </w:p>
        </w:tc>
      </w:tr>
      <w:tr>
        <w:tblPrEx>
          <w:tblCellMar>
            <w:top w:w="0" w:type="dxa"/>
            <w:left w:w="108" w:type="dxa"/>
            <w:bottom w:w="0" w:type="dxa"/>
            <w:right w:w="108" w:type="dxa"/>
          </w:tblCellMar>
        </w:tblPrEx>
        <w:trPr>
          <w:trHeight w:val="72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桌面IP展示</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支持桌面展示机器名称、IP、MAC、日期、工作组以及自定义内容。显示的文字字体、大小、颜色均可设置，管理员可以通过九宫格的方式设置显示位置。</w:t>
            </w:r>
          </w:p>
        </w:tc>
      </w:tr>
      <w:tr>
        <w:tblPrEx>
          <w:tblCellMar>
            <w:top w:w="0" w:type="dxa"/>
            <w:left w:w="108" w:type="dxa"/>
            <w:bottom w:w="0" w:type="dxa"/>
            <w:right w:w="108" w:type="dxa"/>
          </w:tblCellMar>
        </w:tblPrEx>
        <w:trPr>
          <w:trHeight w:val="72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内网聊天</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终端用户可以登录自带的聊天模块功能，可以选择医院的其他用户发送、接收即时消息，支持文件发送和接收，可以查看历史消息。</w:t>
            </w:r>
          </w:p>
        </w:tc>
      </w:tr>
      <w:tr>
        <w:tblPrEx>
          <w:tblCellMar>
            <w:top w:w="0" w:type="dxa"/>
            <w:left w:w="108" w:type="dxa"/>
            <w:bottom w:w="0" w:type="dxa"/>
            <w:right w:w="108" w:type="dxa"/>
          </w:tblCellMar>
        </w:tblPrEx>
        <w:trPr>
          <w:trHeight w:val="1165"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系统盘自动还原</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对于终端计算机提供系统盘还原功能，每次计算机重启，对于系统盘的写入信息，全部丢弃，系统盘恢复原状。</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U盘管理</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可以设置禁止使用U盘，可以为U盘设置只读，只写权限。U盘插入报警。对于鼠标键盘等USB非存储设备不禁用。支持制作注册U盘，制作后的例外U盘，可以在单位内部按权使用。客户端本地也可向管理员申请例外U盘，管理人员可以收到申请消息，并进行审批。</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保密U盘</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持制作保密U盘，制作好的保密U盘只能在认证的计算机中使用，插入到任何非认证的计算机都不能使用。</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硬件资产管理</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管理者可以查询硬件资产统计报表，自动收集硬件资产的变更情况。包括CPU、内存、硬盘、打印设备、串口设备等。可以对于硬件资产信息进行自定义操作，包括设置维保日期，责任人，机器品牌，配备时间，配备方式。</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软件资产管理</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管理者可以查询软件统计报表，自动收集软件的变更情况。可以统计安全软件名称、安装日期、版本号、发布者。</w:t>
            </w:r>
          </w:p>
        </w:tc>
      </w:tr>
      <w:tr>
        <w:tblPrEx>
          <w:tblCellMar>
            <w:top w:w="0" w:type="dxa"/>
            <w:left w:w="108" w:type="dxa"/>
            <w:bottom w:w="0" w:type="dxa"/>
            <w:right w:w="108" w:type="dxa"/>
          </w:tblCellMar>
        </w:tblPrEx>
        <w:trPr>
          <w:trHeight w:val="96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杀毒软件检测</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管理员可以按计算机模式查看所有客户端的杀毒软件状况，包括是否安装杀毒软件、杀毒软件状态、杀毒软件版本号等。</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Windows服务</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查看客户端的windows服务状况，可以设置WINDOWS服务端状态，如禁用、启用服务等。可以禁止、禁用、启用服务。</w:t>
            </w:r>
          </w:p>
        </w:tc>
      </w:tr>
      <w:tr>
        <w:tblPrEx>
          <w:tblCellMar>
            <w:top w:w="0" w:type="dxa"/>
            <w:left w:w="108" w:type="dxa"/>
            <w:bottom w:w="0" w:type="dxa"/>
            <w:right w:w="108" w:type="dxa"/>
          </w:tblCellMar>
        </w:tblPrEx>
        <w:trPr>
          <w:trHeight w:val="72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windows补丁管理</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系统可以搜集当前终端计算机的系统漏洞，以折线图的形式展现近一周内全网终端的漏洞数和趋势；以这线图的形式展示最近一周全网终端修复漏洞数；系统可以展示全部补丁信息，管理员可以根据补丁编号、补丁名称、补丁支持的操作系统进行搜索，选择需要的补丁；管理员可以查看每个补丁，在那些计算机上安装了；管理员可以查看所有补丁安装的信息，包括安装成功、安装失败、忽略信息。管理员可以设置补丁的分发速度和分发时间。管理员可以设置补丁的分发部门和分发终端。</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自动同步时间</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客户端自动同步服务器时间。</w:t>
            </w:r>
          </w:p>
        </w:tc>
      </w:tr>
      <w:tr>
        <w:tblPrEx>
          <w:tblCellMar>
            <w:top w:w="0" w:type="dxa"/>
            <w:left w:w="108" w:type="dxa"/>
            <w:bottom w:w="0" w:type="dxa"/>
            <w:right w:w="108" w:type="dxa"/>
          </w:tblCellMar>
        </w:tblPrEx>
        <w:trPr>
          <w:trHeight w:val="27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文件操作记录</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客户端会自动记录用户文档的操作路径、所在磁盘和所使用的文档编辑程序等，包括创建、访问、复制、剪切、重命名、删除、外发等动作</w:t>
            </w:r>
          </w:p>
        </w:tc>
      </w:tr>
      <w:tr>
        <w:tblPrEx>
          <w:tblCellMar>
            <w:top w:w="0" w:type="dxa"/>
            <w:left w:w="108" w:type="dxa"/>
            <w:bottom w:w="0" w:type="dxa"/>
            <w:right w:w="108" w:type="dxa"/>
          </w:tblCellMar>
        </w:tblPrEx>
        <w:trPr>
          <w:trHeight w:val="27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管理员管理功能配置</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可以设置多个管理员账号，针对不同账号，分配不同可管理的部门和拥有的权限</w:t>
            </w:r>
          </w:p>
        </w:tc>
      </w:tr>
      <w:tr>
        <w:tblPrEx>
          <w:tblCellMar>
            <w:top w:w="0" w:type="dxa"/>
            <w:left w:w="108" w:type="dxa"/>
            <w:bottom w:w="0" w:type="dxa"/>
            <w:right w:w="108" w:type="dxa"/>
          </w:tblCellMar>
        </w:tblPrEx>
        <w:trPr>
          <w:trHeight w:val="721"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远程执行命令</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管理员可以对远程计算机执行命令。</w:t>
            </w:r>
          </w:p>
        </w:tc>
      </w:tr>
      <w:tr>
        <w:tblPrEx>
          <w:tblCellMar>
            <w:top w:w="0" w:type="dxa"/>
            <w:left w:w="108" w:type="dxa"/>
            <w:bottom w:w="0" w:type="dxa"/>
            <w:right w:w="108" w:type="dxa"/>
          </w:tblCellMar>
        </w:tblPrEx>
        <w:trPr>
          <w:trHeight w:val="47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远程电源管理</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对远程计算机执行关机、重启、注销等操作，对于支持网卡唤醒的主板，并且允许跨网段udp可达的情况下，支持远程开机</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文件分发</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管理员可以对远程计算机进行文件传送。可以自定义文件分发位置。支持多人传送。以任务的形式提交到服务器，对于在线的计算机立刻分发，对于不在线的计算机，开机后自动执行分发任务。</w:t>
            </w:r>
          </w:p>
        </w:tc>
      </w:tr>
      <w:tr>
        <w:tblPrEx>
          <w:tblCellMar>
            <w:top w:w="0" w:type="dxa"/>
            <w:left w:w="108" w:type="dxa"/>
            <w:bottom w:w="0" w:type="dxa"/>
            <w:right w:w="108" w:type="dxa"/>
          </w:tblCellMar>
        </w:tblPrEx>
        <w:trPr>
          <w:trHeight w:val="27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软件安装</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管理员可以对计算机实行远程推送安装软件。以任务的形式提交到服务器，对于在线的计算机立刻安装，对于不在线的计算机，开机后自动执行安装任务。分发时间可自行设置开始时间与结束时间，分发速度也可限制。</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屏幕保护</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可以远程批量统一分发客户端桌面屏保；管理员可以在系统中上传制作好的屏幕保护文件，以及无操作多长时间后启动屏保。</w:t>
            </w:r>
          </w:p>
        </w:tc>
      </w:tr>
      <w:tr>
        <w:tblPrEx>
          <w:tblCellMar>
            <w:top w:w="0" w:type="dxa"/>
            <w:left w:w="108" w:type="dxa"/>
            <w:bottom w:w="0" w:type="dxa"/>
            <w:right w:w="108" w:type="dxa"/>
          </w:tblCellMar>
        </w:tblPrEx>
        <w:trPr>
          <w:trHeight w:val="45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桌面背景</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可以远程批量统一分发客户端桌面背景。</w:t>
            </w:r>
          </w:p>
        </w:tc>
      </w:tr>
      <w:tr>
        <w:tblPrEx>
          <w:tblCellMar>
            <w:top w:w="0" w:type="dxa"/>
            <w:left w:w="108" w:type="dxa"/>
            <w:bottom w:w="0" w:type="dxa"/>
            <w:right w:w="108" w:type="dxa"/>
          </w:tblCellMar>
        </w:tblPrEx>
        <w:trPr>
          <w:trHeight w:val="27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网络使用控制</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管理员可以设置指定的计算机禁止访问外网。内网访问不受控制。</w:t>
            </w:r>
          </w:p>
        </w:tc>
      </w:tr>
      <w:tr>
        <w:tblPrEx>
          <w:tblCellMar>
            <w:top w:w="0" w:type="dxa"/>
            <w:left w:w="108" w:type="dxa"/>
            <w:bottom w:w="0" w:type="dxa"/>
            <w:right w:w="108" w:type="dxa"/>
          </w:tblCellMar>
        </w:tblPrEx>
        <w:trPr>
          <w:trHeight w:val="27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实时网络状态</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可以查看每台计算机的网络状态，包括使用协议、本地地址、远程地址、本地端口、远程端口、当前状态、占用进程、进程ID等信息。</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程序访问控制</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管理者可以设置员工禁止访问的程序。可以根据动态链接库名称对于程序使用进行控制。</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程序访问审计</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记录客户端程序使用日志。包括程序运行路径、开始时间、结束时间、产品名称、公司名称等信息。</w:t>
            </w:r>
          </w:p>
        </w:tc>
      </w:tr>
      <w:tr>
        <w:tblPrEx>
          <w:tblCellMar>
            <w:top w:w="0" w:type="dxa"/>
            <w:left w:w="108" w:type="dxa"/>
            <w:bottom w:w="0" w:type="dxa"/>
            <w:right w:w="108" w:type="dxa"/>
          </w:tblCellMar>
        </w:tblPrEx>
        <w:trPr>
          <w:trHeight w:val="27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程序违规访问报警</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对违规程序使用行为进行自动报警。</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程序日志统计</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可以形成多种类型的程序统计报表。包括访使用程序最多的前20名的计算机、使用次数最多的程序前20名，使用时间最多的程序前20名。形成饼状图、柱状图和列表。</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正在运行进程</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可以查看客户端正在运行的程序。且管理员后台可直接结束进程</w:t>
            </w:r>
          </w:p>
        </w:tc>
      </w:tr>
      <w:tr>
        <w:tblPrEx>
          <w:tblCellMar>
            <w:top w:w="0" w:type="dxa"/>
            <w:left w:w="108" w:type="dxa"/>
            <w:bottom w:w="0" w:type="dxa"/>
            <w:right w:w="108" w:type="dxa"/>
          </w:tblCellMar>
        </w:tblPrEx>
        <w:trPr>
          <w:trHeight w:val="27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禁用外设</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禁止终端计算机使用软驱，光驱，红外，蓝牙，MODEM，声卡，COM口，禁用图形图像设备，禁用便携式设备，禁用无线网卡。</w:t>
            </w:r>
          </w:p>
        </w:tc>
      </w:tr>
      <w:tr>
        <w:tblPrEx>
          <w:tblCellMar>
            <w:top w:w="0" w:type="dxa"/>
            <w:left w:w="108" w:type="dxa"/>
            <w:bottom w:w="0" w:type="dxa"/>
            <w:right w:w="108" w:type="dxa"/>
          </w:tblCellMar>
        </w:tblPrEx>
        <w:trPr>
          <w:trHeight w:val="48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打印操作记录打印操作记录</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记录终端计算机的打印信息，包括：打印时间，打印页数，打印文件按名，使用的打印机以及打印的内容形成图片保存到服务器上。</w:t>
            </w:r>
          </w:p>
        </w:tc>
      </w:tr>
      <w:tr>
        <w:tblPrEx>
          <w:tblCellMar>
            <w:top w:w="0" w:type="dxa"/>
            <w:left w:w="108" w:type="dxa"/>
            <w:bottom w:w="0" w:type="dxa"/>
            <w:right w:w="108" w:type="dxa"/>
          </w:tblCellMar>
        </w:tblPrEx>
        <w:trPr>
          <w:trHeight w:val="270" w:hRule="atLeast"/>
          <w:jc w:val="center"/>
        </w:trPr>
        <w:tc>
          <w:tcPr>
            <w:tcW w:w="20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开机启动项</w:t>
            </w:r>
          </w:p>
        </w:tc>
        <w:tc>
          <w:tcPr>
            <w:tcW w:w="6968"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查看并管理开机启动项。</w:t>
            </w:r>
          </w:p>
        </w:tc>
      </w:tr>
    </w:tbl>
    <w:p>
      <w:pPr>
        <w:pStyle w:val="13"/>
        <w:snapToGrid w:val="0"/>
        <w:spacing w:before="120" w:after="120" w:line="360" w:lineRule="auto"/>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2、终端防病毒扩容</w:t>
      </w:r>
    </w:p>
    <w:tbl>
      <w:tblPr>
        <w:tblStyle w:val="21"/>
        <w:tblW w:w="0" w:type="auto"/>
        <w:tblInd w:w="108" w:type="dxa"/>
        <w:tblLayout w:type="autofit"/>
        <w:tblCellMar>
          <w:top w:w="0" w:type="dxa"/>
          <w:left w:w="108" w:type="dxa"/>
          <w:bottom w:w="0" w:type="dxa"/>
          <w:right w:w="108" w:type="dxa"/>
        </w:tblCellMar>
      </w:tblPr>
      <w:tblGrid>
        <w:gridCol w:w="1950"/>
        <w:gridCol w:w="6888"/>
      </w:tblGrid>
      <w:tr>
        <w:tblPrEx>
          <w:tblCellMar>
            <w:top w:w="0" w:type="dxa"/>
            <w:left w:w="108" w:type="dxa"/>
            <w:bottom w:w="0" w:type="dxa"/>
            <w:right w:w="108" w:type="dxa"/>
          </w:tblCellMar>
        </w:tblPrEx>
        <w:trPr>
          <w:trHeight w:val="380" w:hRule="atLeast"/>
        </w:trPr>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sz w:val="24"/>
                <w:szCs w:val="24"/>
              </w:rPr>
              <w:t>技术指标</w:t>
            </w:r>
          </w:p>
        </w:tc>
        <w:tc>
          <w:tcPr>
            <w:tcW w:w="688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b/>
                <w:color w:val="000000"/>
                <w:sz w:val="24"/>
                <w:szCs w:val="24"/>
              </w:rPr>
              <w:t>具体参数</w:t>
            </w:r>
          </w:p>
        </w:tc>
      </w:tr>
      <w:tr>
        <w:tblPrEx>
          <w:tblCellMar>
            <w:top w:w="0" w:type="dxa"/>
            <w:left w:w="108" w:type="dxa"/>
            <w:bottom w:w="0" w:type="dxa"/>
            <w:right w:w="108" w:type="dxa"/>
          </w:tblCellMar>
        </w:tblPrEx>
        <w:trPr>
          <w:trHeight w:val="380" w:hRule="atLeast"/>
        </w:trPr>
        <w:tc>
          <w:tcPr>
            <w:tcW w:w="19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产品形态</w:t>
            </w:r>
          </w:p>
        </w:tc>
        <w:tc>
          <w:tcPr>
            <w:tcW w:w="6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产品可以纯软件交付，包含管理控制中心软件及终端客户端软件，其中管理控制中心可云化部署；</w:t>
            </w:r>
          </w:p>
        </w:tc>
      </w:tr>
      <w:tr>
        <w:tblPrEx>
          <w:tblCellMar>
            <w:top w:w="0" w:type="dxa"/>
            <w:left w:w="108" w:type="dxa"/>
            <w:bottom w:w="0" w:type="dxa"/>
            <w:right w:w="108" w:type="dxa"/>
          </w:tblCellMar>
        </w:tblPrEx>
        <w:trPr>
          <w:trHeight w:val="380" w:hRule="atLeast"/>
        </w:trPr>
        <w:tc>
          <w:tcPr>
            <w:tcW w:w="19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Cs/>
                <w:color w:val="000000"/>
                <w:kern w:val="0"/>
                <w:sz w:val="24"/>
                <w:szCs w:val="24"/>
              </w:rPr>
            </w:pPr>
          </w:p>
        </w:tc>
        <w:tc>
          <w:tcPr>
            <w:tcW w:w="6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★本次配置≥600套PC版终端检测响应软件授权</w:t>
            </w:r>
          </w:p>
        </w:tc>
      </w:tr>
      <w:tr>
        <w:tblPrEx>
          <w:tblCellMar>
            <w:top w:w="0" w:type="dxa"/>
            <w:left w:w="108" w:type="dxa"/>
            <w:bottom w:w="0" w:type="dxa"/>
            <w:right w:w="108" w:type="dxa"/>
          </w:tblCellMar>
        </w:tblPrEx>
        <w:trPr>
          <w:trHeight w:val="380" w:hRule="atLeast"/>
        </w:trPr>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Windows PC 客户端支持</w:t>
            </w:r>
          </w:p>
        </w:tc>
        <w:tc>
          <w:tcPr>
            <w:tcW w:w="688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Windows XP/Windows Vista/Windows 7/Windows 8/Windows 8.1/Windows 10/Windows 11</w:t>
            </w:r>
          </w:p>
        </w:tc>
      </w:tr>
      <w:tr>
        <w:tblPrEx>
          <w:tblCellMar>
            <w:top w:w="0" w:type="dxa"/>
            <w:left w:w="108" w:type="dxa"/>
            <w:bottom w:w="0" w:type="dxa"/>
            <w:right w:w="108" w:type="dxa"/>
          </w:tblCellMar>
        </w:tblPrEx>
        <w:trPr>
          <w:trHeight w:val="1425" w:hRule="atLeast"/>
        </w:trPr>
        <w:tc>
          <w:tcPr>
            <w:tcW w:w="19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威胁展示</w:t>
            </w:r>
          </w:p>
        </w:tc>
        <w:tc>
          <w:tcPr>
            <w:tcW w:w="688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支持全网风险展示，包括但不限于未处理的勒索病毒数量、高级威胁、暴力破解、僵尸网络、WebShell后门、高危漏洞及其各自影响的终端数量</w:t>
            </w:r>
          </w:p>
        </w:tc>
      </w:tr>
      <w:tr>
        <w:tblPrEx>
          <w:tblCellMar>
            <w:top w:w="0" w:type="dxa"/>
            <w:left w:w="108" w:type="dxa"/>
            <w:bottom w:w="0" w:type="dxa"/>
            <w:right w:w="108" w:type="dxa"/>
          </w:tblCellMar>
        </w:tblPrEx>
        <w:trPr>
          <w:trHeight w:val="2340" w:hRule="atLeast"/>
        </w:trPr>
        <w:tc>
          <w:tcPr>
            <w:tcW w:w="19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Cs/>
                <w:color w:val="000000"/>
                <w:kern w:val="0"/>
                <w:sz w:val="24"/>
                <w:szCs w:val="24"/>
              </w:rPr>
            </w:pPr>
          </w:p>
        </w:tc>
        <w:tc>
          <w:tcPr>
            <w:tcW w:w="688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★提供勒索病毒整体防护体系入口，直观展示最近七天勒索病毒防护效果，包括已处置的勒索病毒数量、已阻止的勒索病毒行为次数、已阻止的未知进程操作次数、已阻止的暴力破解攻击次数 （需提供产品截图证明 ）</w:t>
            </w:r>
          </w:p>
        </w:tc>
      </w:tr>
      <w:tr>
        <w:tblPrEx>
          <w:tblCellMar>
            <w:top w:w="0" w:type="dxa"/>
            <w:left w:w="108" w:type="dxa"/>
            <w:bottom w:w="0" w:type="dxa"/>
            <w:right w:w="108" w:type="dxa"/>
          </w:tblCellMar>
        </w:tblPrEx>
        <w:trPr>
          <w:trHeight w:val="760" w:hRule="atLeast"/>
        </w:trPr>
        <w:tc>
          <w:tcPr>
            <w:tcW w:w="19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资产管理</w:t>
            </w:r>
          </w:p>
        </w:tc>
        <w:tc>
          <w:tcPr>
            <w:tcW w:w="688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支持全网视角的终端资产统一清点，便于帮助用户快速发现风险面。清点信息包括操作系统、应用软件、监听端口和终端账户，其中操作系统和监听端口支持从资产和终端两个视角进行统计和展示。</w:t>
            </w:r>
          </w:p>
        </w:tc>
      </w:tr>
      <w:tr>
        <w:tblPrEx>
          <w:tblCellMar>
            <w:top w:w="0" w:type="dxa"/>
            <w:left w:w="108" w:type="dxa"/>
            <w:bottom w:w="0" w:type="dxa"/>
            <w:right w:w="108" w:type="dxa"/>
          </w:tblCellMar>
        </w:tblPrEx>
        <w:trPr>
          <w:trHeight w:val="760" w:hRule="atLeast"/>
        </w:trPr>
        <w:tc>
          <w:tcPr>
            <w:tcW w:w="19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Cs/>
                <w:color w:val="000000"/>
                <w:kern w:val="0"/>
                <w:sz w:val="24"/>
                <w:szCs w:val="24"/>
              </w:rPr>
            </w:pPr>
          </w:p>
        </w:tc>
        <w:tc>
          <w:tcPr>
            <w:tcW w:w="688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支持收集并展示单个终端的软件信息，包括软件名称、软件类型、软件版本、所属厂商、软件安装路径以及安装时间</w:t>
            </w:r>
          </w:p>
        </w:tc>
      </w:tr>
      <w:tr>
        <w:tblPrEx>
          <w:tblCellMar>
            <w:top w:w="0" w:type="dxa"/>
            <w:left w:w="108" w:type="dxa"/>
            <w:bottom w:w="0" w:type="dxa"/>
            <w:right w:w="108" w:type="dxa"/>
          </w:tblCellMar>
        </w:tblPrEx>
        <w:trPr>
          <w:trHeight w:val="1140" w:hRule="atLeast"/>
        </w:trPr>
        <w:tc>
          <w:tcPr>
            <w:tcW w:w="19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Cs/>
                <w:color w:val="000000"/>
                <w:kern w:val="0"/>
                <w:sz w:val="24"/>
                <w:szCs w:val="24"/>
              </w:rPr>
            </w:pPr>
          </w:p>
        </w:tc>
        <w:tc>
          <w:tcPr>
            <w:tcW w:w="688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对系统账号信息进行梳理，了解账号权限分布概况以及风险账号分布情况，可按照隐藏账号、弱密码账号、可疑root权限账号、长期未使用账号、夜间登录、多IP登录进行账号分类查看，支持统计最近一年未修改密码的账户（需提供产品截图证明 ）</w:t>
            </w:r>
          </w:p>
        </w:tc>
      </w:tr>
      <w:tr>
        <w:tblPrEx>
          <w:tblCellMar>
            <w:top w:w="0" w:type="dxa"/>
            <w:left w:w="108" w:type="dxa"/>
            <w:bottom w:w="0" w:type="dxa"/>
            <w:right w:w="108" w:type="dxa"/>
          </w:tblCellMar>
        </w:tblPrEx>
        <w:trPr>
          <w:trHeight w:val="359" w:hRule="atLeast"/>
        </w:trPr>
        <w:tc>
          <w:tcPr>
            <w:tcW w:w="19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系统维护</w:t>
            </w:r>
          </w:p>
        </w:tc>
        <w:tc>
          <w:tcPr>
            <w:tcW w:w="688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支持对在线终端下发实时通知消息</w:t>
            </w:r>
          </w:p>
        </w:tc>
      </w:tr>
      <w:tr>
        <w:tblPrEx>
          <w:tblCellMar>
            <w:top w:w="0" w:type="dxa"/>
            <w:left w:w="108" w:type="dxa"/>
            <w:bottom w:w="0" w:type="dxa"/>
            <w:right w:w="108" w:type="dxa"/>
          </w:tblCellMar>
        </w:tblPrEx>
        <w:trPr>
          <w:trHeight w:val="740" w:hRule="atLeast"/>
        </w:trPr>
        <w:tc>
          <w:tcPr>
            <w:tcW w:w="19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Cs/>
                <w:color w:val="000000"/>
                <w:kern w:val="0"/>
                <w:sz w:val="24"/>
                <w:szCs w:val="24"/>
              </w:rPr>
            </w:pPr>
          </w:p>
        </w:tc>
        <w:tc>
          <w:tcPr>
            <w:tcW w:w="688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支持客户端的错峰升级，可根据实际情况控制客户端同时升级的最大数量，避免大量终端程序同时更新造成网络拥堵或I/O风暴（需提供产品截图证明 ）</w:t>
            </w:r>
          </w:p>
        </w:tc>
      </w:tr>
      <w:tr>
        <w:tblPrEx>
          <w:tblCellMar>
            <w:top w:w="0" w:type="dxa"/>
            <w:left w:w="108" w:type="dxa"/>
            <w:bottom w:w="0" w:type="dxa"/>
            <w:right w:w="108" w:type="dxa"/>
          </w:tblCellMar>
        </w:tblPrEx>
        <w:trPr>
          <w:trHeight w:val="760" w:hRule="atLeast"/>
        </w:trPr>
        <w:tc>
          <w:tcPr>
            <w:tcW w:w="19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威胁防御</w:t>
            </w:r>
          </w:p>
        </w:tc>
        <w:tc>
          <w:tcPr>
            <w:tcW w:w="68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智能识别终端环境情况（低配硬件、老旧设备、桌面虚拟化等）和当前终端资源占用，在闲时实时监控和病毒扫描场景，都可智能调整终端检测响应软件的资源占用（CPU、IO等），为业务让出资源，不卡业务，对业务零摩擦。（需提供产品截图证明 ）</w:t>
            </w:r>
          </w:p>
        </w:tc>
      </w:tr>
      <w:tr>
        <w:tblPrEx>
          <w:tblCellMar>
            <w:top w:w="0" w:type="dxa"/>
            <w:left w:w="108" w:type="dxa"/>
            <w:bottom w:w="0" w:type="dxa"/>
            <w:right w:w="108" w:type="dxa"/>
          </w:tblCellMar>
        </w:tblPrEx>
        <w:trPr>
          <w:trHeight w:val="307" w:hRule="atLeast"/>
        </w:trPr>
        <w:tc>
          <w:tcPr>
            <w:tcW w:w="19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Cs/>
                <w:color w:val="000000"/>
                <w:kern w:val="0"/>
                <w:sz w:val="24"/>
                <w:szCs w:val="24"/>
              </w:rPr>
            </w:pPr>
          </w:p>
        </w:tc>
        <w:tc>
          <w:tcPr>
            <w:tcW w:w="688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具备基于本地缓存信誉检测与全网信誉检测，构建全网信誉库的检测引擎，做到内网一台威胁，全网感知并进行针对性查杀，支持处置病毒时选择是否在其它终端上同步处置有效提升查杀效率，减少终端资源开销</w:t>
            </w:r>
          </w:p>
        </w:tc>
      </w:tr>
      <w:tr>
        <w:tblPrEx>
          <w:tblCellMar>
            <w:top w:w="0" w:type="dxa"/>
            <w:left w:w="108" w:type="dxa"/>
            <w:bottom w:w="0" w:type="dxa"/>
            <w:right w:w="108" w:type="dxa"/>
          </w:tblCellMar>
        </w:tblPrEx>
        <w:trPr>
          <w:trHeight w:val="380" w:hRule="atLeast"/>
        </w:trPr>
        <w:tc>
          <w:tcPr>
            <w:tcW w:w="19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Cs/>
                <w:color w:val="000000"/>
                <w:kern w:val="0"/>
                <w:sz w:val="24"/>
                <w:szCs w:val="24"/>
              </w:rPr>
            </w:pPr>
          </w:p>
        </w:tc>
        <w:tc>
          <w:tcPr>
            <w:tcW w:w="688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支持对zip，rar，jar，cab，7z等常见压缩文件的扫描检测，支持压缩文件层级进行策略配置，最大可配置检查10层压缩文件</w:t>
            </w:r>
          </w:p>
        </w:tc>
      </w:tr>
      <w:tr>
        <w:tblPrEx>
          <w:tblCellMar>
            <w:top w:w="0" w:type="dxa"/>
            <w:left w:w="108" w:type="dxa"/>
            <w:bottom w:w="0" w:type="dxa"/>
            <w:right w:w="108" w:type="dxa"/>
          </w:tblCellMar>
        </w:tblPrEx>
        <w:trPr>
          <w:trHeight w:val="760" w:hRule="atLeast"/>
        </w:trPr>
        <w:tc>
          <w:tcPr>
            <w:tcW w:w="19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Cs/>
                <w:color w:val="000000"/>
                <w:kern w:val="0"/>
                <w:sz w:val="24"/>
                <w:szCs w:val="24"/>
              </w:rPr>
            </w:pPr>
          </w:p>
        </w:tc>
        <w:tc>
          <w:tcPr>
            <w:tcW w:w="688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备针对最新未知的文件，使用IOC特征（文件hash、dns、url、ip等）的技术，进行云端查询。云端的安全中心，使用大数据分析平台，基于多维威胁情报、云端沙箱技术、多引擎扩展的检测技术等，秒级响应未知文件的检测结果，构架公有云云查体系</w:t>
            </w:r>
          </w:p>
        </w:tc>
      </w:tr>
      <w:tr>
        <w:tblPrEx>
          <w:tblCellMar>
            <w:top w:w="0" w:type="dxa"/>
            <w:left w:w="108" w:type="dxa"/>
            <w:bottom w:w="0" w:type="dxa"/>
            <w:right w:w="108" w:type="dxa"/>
          </w:tblCellMar>
        </w:tblPrEx>
        <w:trPr>
          <w:trHeight w:val="1470" w:hRule="atLeast"/>
        </w:trPr>
        <w:tc>
          <w:tcPr>
            <w:tcW w:w="19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color w:val="000000"/>
                <w:kern w:val="0"/>
                <w:sz w:val="24"/>
                <w:szCs w:val="24"/>
              </w:rPr>
            </w:pPr>
          </w:p>
        </w:tc>
        <w:tc>
          <w:tcPr>
            <w:tcW w:w="688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基于勒索病毒攻击过程，建立多维度立体防护机制，提供事前入侵防御-事中反加密-事后检测响应的完整防护体系，展示勒索病毒处置情况，对勒索病毒及变种实现专门有效防御（需提供产品截图证明 ）</w:t>
            </w:r>
          </w:p>
        </w:tc>
      </w:tr>
      <w:tr>
        <w:tblPrEx>
          <w:tblCellMar>
            <w:top w:w="0" w:type="dxa"/>
            <w:left w:w="108" w:type="dxa"/>
            <w:bottom w:w="0" w:type="dxa"/>
            <w:right w:w="108" w:type="dxa"/>
          </w:tblCellMar>
        </w:tblPrEx>
        <w:trPr>
          <w:trHeight w:val="1872" w:hRule="atLeast"/>
        </w:trPr>
        <w:tc>
          <w:tcPr>
            <w:tcW w:w="19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color w:val="000000"/>
                <w:kern w:val="0"/>
                <w:sz w:val="24"/>
                <w:szCs w:val="24"/>
              </w:rPr>
            </w:pPr>
          </w:p>
        </w:tc>
        <w:tc>
          <w:tcPr>
            <w:tcW w:w="688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支持对Windows停更的系统提供专项防护，包括0day漏洞防护、文件防护、暴破入侵防护、系统脆弱点识别和风险端口封堵等多项核心功能；</w:t>
            </w:r>
          </w:p>
        </w:tc>
      </w:tr>
      <w:tr>
        <w:tblPrEx>
          <w:tblCellMar>
            <w:top w:w="0" w:type="dxa"/>
            <w:left w:w="108" w:type="dxa"/>
            <w:bottom w:w="0" w:type="dxa"/>
            <w:right w:w="108" w:type="dxa"/>
          </w:tblCellMar>
        </w:tblPrEx>
        <w:trPr>
          <w:trHeight w:val="380" w:hRule="atLeast"/>
        </w:trPr>
        <w:tc>
          <w:tcPr>
            <w:tcW w:w="19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补丁管理</w:t>
            </w:r>
          </w:p>
        </w:tc>
        <w:tc>
          <w:tcPr>
            <w:tcW w:w="6888" w:type="dxa"/>
            <w:tcBorders>
              <w:top w:val="nil"/>
              <w:left w:val="nil"/>
              <w:bottom w:val="single" w:color="auto" w:sz="4" w:space="0"/>
              <w:right w:val="single" w:color="auto" w:sz="4" w:space="0"/>
            </w:tcBorders>
            <w:shd w:val="clear" w:color="auto" w:fill="auto"/>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支持对Windows终端的漏洞情况进行扫描，并查看漏洞具体情况及KB号，并显示具体修复情况</w:t>
            </w:r>
          </w:p>
        </w:tc>
      </w:tr>
      <w:tr>
        <w:tblPrEx>
          <w:tblCellMar>
            <w:top w:w="0" w:type="dxa"/>
            <w:left w:w="108" w:type="dxa"/>
            <w:bottom w:w="0" w:type="dxa"/>
            <w:right w:w="108" w:type="dxa"/>
          </w:tblCellMar>
        </w:tblPrEx>
        <w:trPr>
          <w:trHeight w:val="380" w:hRule="atLeast"/>
        </w:trPr>
        <w:tc>
          <w:tcPr>
            <w:tcW w:w="19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Cs/>
                <w:color w:val="000000"/>
                <w:kern w:val="0"/>
                <w:sz w:val="24"/>
                <w:szCs w:val="24"/>
              </w:rPr>
            </w:pPr>
          </w:p>
        </w:tc>
        <w:tc>
          <w:tcPr>
            <w:tcW w:w="6888"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sz w:val="24"/>
                <w:szCs w:val="24"/>
              </w:rPr>
              <w:t>支持流行Windows高危漏洞的轻补丁免疫防御，支持Windows补丁批量一键修复</w:t>
            </w:r>
            <w:r>
              <w:rPr>
                <w:rFonts w:hint="eastAsia" w:ascii="宋体" w:hAnsi="宋体" w:eastAsia="宋体" w:cs="宋体"/>
                <w:color w:val="000000"/>
                <w:kern w:val="0"/>
                <w:sz w:val="24"/>
                <w:szCs w:val="24"/>
              </w:rPr>
              <w:t>（需提供产品截图证明 ）</w:t>
            </w:r>
          </w:p>
        </w:tc>
      </w:tr>
    </w:tbl>
    <w:p>
      <w:pPr>
        <w:pStyle w:val="13"/>
        <w:snapToGrid w:val="0"/>
        <w:spacing w:before="120" w:after="120" w:line="360" w:lineRule="auto"/>
        <w:outlineLvl w:val="0"/>
        <w:rPr>
          <w:rFonts w:hint="eastAsia" w:ascii="宋体" w:hAnsi="宋体" w:eastAsia="宋体" w:cs="宋体"/>
          <w:b/>
          <w:bCs/>
          <w:sz w:val="24"/>
          <w:szCs w:val="24"/>
        </w:rPr>
      </w:pPr>
    </w:p>
    <w:p>
      <w:pPr>
        <w:pStyle w:val="13"/>
        <w:snapToGrid w:val="0"/>
        <w:spacing w:before="120" w:after="120" w:line="360" w:lineRule="auto"/>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3、数据库高性能复制平台</w:t>
      </w:r>
    </w:p>
    <w:tbl>
      <w:tblPr>
        <w:tblStyle w:val="21"/>
        <w:tblW w:w="9072" w:type="dxa"/>
        <w:tblInd w:w="108" w:type="dxa"/>
        <w:tblLayout w:type="autofit"/>
        <w:tblCellMar>
          <w:top w:w="0" w:type="dxa"/>
          <w:left w:w="108" w:type="dxa"/>
          <w:bottom w:w="0" w:type="dxa"/>
          <w:right w:w="108" w:type="dxa"/>
        </w:tblCellMar>
      </w:tblPr>
      <w:tblGrid>
        <w:gridCol w:w="1985"/>
        <w:gridCol w:w="7087"/>
      </w:tblGrid>
      <w:tr>
        <w:tblPrEx>
          <w:tblCellMar>
            <w:top w:w="0" w:type="dxa"/>
            <w:left w:w="108" w:type="dxa"/>
            <w:bottom w:w="0" w:type="dxa"/>
            <w:right w:w="108" w:type="dxa"/>
          </w:tblCellMar>
        </w:tblPrEx>
        <w:trPr>
          <w:trHeight w:val="312"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指标项</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指标参数要求</w:t>
            </w:r>
          </w:p>
        </w:tc>
      </w:tr>
      <w:tr>
        <w:tblPrEx>
          <w:tblCellMar>
            <w:top w:w="0" w:type="dxa"/>
            <w:left w:w="108" w:type="dxa"/>
            <w:bottom w:w="0" w:type="dxa"/>
            <w:right w:w="108" w:type="dxa"/>
          </w:tblCellMar>
        </w:tblPrEx>
        <w:trPr>
          <w:trHeight w:val="312" w:hRule="atLeast"/>
        </w:trPr>
        <w:tc>
          <w:tcPr>
            <w:tcW w:w="198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基本要求</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sz w:val="24"/>
                <w:szCs w:val="24"/>
              </w:rPr>
              <w:t>★</w:t>
            </w:r>
            <w:r>
              <w:rPr>
                <w:rFonts w:hint="eastAsia" w:ascii="宋体" w:hAnsi="宋体" w:eastAsia="宋体" w:cs="宋体"/>
                <w:color w:val="000000"/>
                <w:kern w:val="0"/>
                <w:sz w:val="24"/>
                <w:szCs w:val="24"/>
                <w:lang w:bidi="ar"/>
              </w:rPr>
              <w:t>必须支持异地容灾，生产库发生灾难后，备库可提升为主库，可读可写，实现建立数据抽取前置实时库要求。（提供截图证明文件）</w:t>
            </w:r>
          </w:p>
        </w:tc>
      </w:tr>
      <w:tr>
        <w:tblPrEx>
          <w:tblCellMar>
            <w:top w:w="0" w:type="dxa"/>
            <w:left w:w="108" w:type="dxa"/>
            <w:bottom w:w="0" w:type="dxa"/>
            <w:right w:w="108" w:type="dxa"/>
          </w:tblCellMar>
        </w:tblPrEx>
        <w:trPr>
          <w:trHeight w:val="312" w:hRule="atLeast"/>
        </w:trPr>
        <w:tc>
          <w:tcPr>
            <w:tcW w:w="1985" w:type="dxa"/>
            <w:vMerge w:val="continue"/>
            <w:tcBorders>
              <w:left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支持基于数据库在线重做日志的分析复制，支持以逻辑复制的方式将源端数据复制到目标端，并支持在目标端实现复制数据的自动加载；</w:t>
            </w:r>
          </w:p>
        </w:tc>
      </w:tr>
      <w:tr>
        <w:tblPrEx>
          <w:tblCellMar>
            <w:top w:w="0" w:type="dxa"/>
            <w:left w:w="108" w:type="dxa"/>
            <w:bottom w:w="0" w:type="dxa"/>
            <w:right w:w="108" w:type="dxa"/>
          </w:tblCellMar>
        </w:tblPrEx>
        <w:trPr>
          <w:trHeight w:val="312" w:hRule="atLeast"/>
        </w:trPr>
        <w:tc>
          <w:tcPr>
            <w:tcW w:w="1985" w:type="dxa"/>
            <w:vMerge w:val="continue"/>
            <w:tcBorders>
              <w:left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支持基于rowid方式数据实时同步，支持数据库全库、增量、双向复制等功能；</w:t>
            </w:r>
          </w:p>
        </w:tc>
      </w:tr>
      <w:tr>
        <w:tblPrEx>
          <w:tblCellMar>
            <w:top w:w="0" w:type="dxa"/>
            <w:left w:w="108" w:type="dxa"/>
            <w:bottom w:w="0" w:type="dxa"/>
            <w:right w:w="108" w:type="dxa"/>
          </w:tblCellMar>
        </w:tblPrEx>
        <w:trPr>
          <w:trHeight w:val="312" w:hRule="atLeast"/>
        </w:trPr>
        <w:tc>
          <w:tcPr>
            <w:tcW w:w="1985" w:type="dxa"/>
            <w:vMerge w:val="continue"/>
            <w:tcBorders>
              <w:left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增量数据实时同步效率每小时不低于200GB/小时</w:t>
            </w:r>
          </w:p>
        </w:tc>
      </w:tr>
      <w:tr>
        <w:tblPrEx>
          <w:tblCellMar>
            <w:top w:w="0" w:type="dxa"/>
            <w:left w:w="108" w:type="dxa"/>
            <w:bottom w:w="0" w:type="dxa"/>
            <w:right w:w="108" w:type="dxa"/>
          </w:tblCellMar>
        </w:tblPrEx>
        <w:trPr>
          <w:trHeight w:val="312"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非侵入式安装要求</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为保障生产安全，软件部署不得干预源端生产业务，禁止对源端数据库及操作系统做任何的参数修改，禁止重启服务器；</w:t>
            </w:r>
          </w:p>
          <w:p>
            <w:pPr>
              <w:spacing w:line="36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软件必须尽可能少的占用系统资源，CPU占用不大于5%，内存占用不大于1G；</w:t>
            </w:r>
          </w:p>
          <w:p>
            <w:pPr>
              <w:spacing w:line="36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支持中间机部署模式，无需在生产数据库服务器上安装代理程序；</w:t>
            </w:r>
          </w:p>
          <w:p>
            <w:pPr>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在数据初始化同步过程中，业务不能停止；在异构平台或跨数据库版本之间的数据初始化过程中不需要人工干预；</w:t>
            </w:r>
          </w:p>
        </w:tc>
      </w:tr>
      <w:tr>
        <w:tblPrEx>
          <w:tblCellMar>
            <w:top w:w="0" w:type="dxa"/>
            <w:left w:w="108" w:type="dxa"/>
            <w:bottom w:w="0" w:type="dxa"/>
            <w:right w:w="108" w:type="dxa"/>
          </w:tblCellMar>
        </w:tblPrEx>
        <w:trPr>
          <w:trHeight w:val="312"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操作系统支持</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应支持以下操作系统：Linux主流品牌和版本（Redhat linux/CentOS/中标麒麟/银河麒麟等）/Windows/HP-UNIX 11.23 v2 for PA/HP-UNIX 11.23 v2 for IA/Sun Solaris 9,10/IBM AIX 5/AS400以上版本</w:t>
            </w:r>
          </w:p>
        </w:tc>
      </w:tr>
      <w:tr>
        <w:tblPrEx>
          <w:tblCellMar>
            <w:top w:w="0" w:type="dxa"/>
            <w:left w:w="108" w:type="dxa"/>
            <w:bottom w:w="0" w:type="dxa"/>
            <w:right w:w="108" w:type="dxa"/>
          </w:tblCellMar>
        </w:tblPrEx>
        <w:trPr>
          <w:trHeight w:val="312"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异构硬件平台支持</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支持任意硬件平台异构实时同步复制，此次需要支持windows操作系统到linux操作系统的数据同步</w:t>
            </w:r>
          </w:p>
        </w:tc>
      </w:tr>
      <w:tr>
        <w:tblPrEx>
          <w:tblCellMar>
            <w:top w:w="0" w:type="dxa"/>
            <w:left w:w="108" w:type="dxa"/>
            <w:bottom w:w="0" w:type="dxa"/>
            <w:right w:w="108" w:type="dxa"/>
          </w:tblCellMar>
        </w:tblPrEx>
        <w:trPr>
          <w:trHeight w:val="312" w:hRule="atLeast"/>
        </w:trPr>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数据库兼容性要求</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支持异构数据库之间的数据同步：支持至少18种源端数据库：Oracle、DB2、sybase、mysql、SQLServer、Informix、Gbase、达梦、浪潮K-DB、PostgreSQL、antdb、万里开源、人大金仓、南大通用、OceanBase、TDSQL、Goldendb、GaussDB等 </w:t>
            </w:r>
          </w:p>
        </w:tc>
      </w:tr>
      <w:tr>
        <w:tblPrEx>
          <w:tblCellMar>
            <w:top w:w="0" w:type="dxa"/>
            <w:left w:w="108" w:type="dxa"/>
            <w:bottom w:w="0" w:type="dxa"/>
            <w:right w:w="108" w:type="dxa"/>
          </w:tblCellMar>
        </w:tblPrEx>
        <w:trPr>
          <w:trHeight w:val="312" w:hRule="atLeast"/>
        </w:trPr>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提供至少六种国产数据库的兼容性证明文件</w:t>
            </w:r>
          </w:p>
        </w:tc>
      </w:tr>
      <w:tr>
        <w:tblPrEx>
          <w:tblCellMar>
            <w:top w:w="0" w:type="dxa"/>
            <w:left w:w="108" w:type="dxa"/>
            <w:bottom w:w="0" w:type="dxa"/>
            <w:right w:w="108" w:type="dxa"/>
          </w:tblCellMar>
        </w:tblPrEx>
        <w:trPr>
          <w:trHeight w:val="312" w:hRule="atLeast"/>
        </w:trPr>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针对不同数据库的部分非法数据，自动按照目标端规范调整适配；</w:t>
            </w:r>
          </w:p>
        </w:tc>
      </w:tr>
      <w:tr>
        <w:tblPrEx>
          <w:tblCellMar>
            <w:top w:w="0" w:type="dxa"/>
            <w:left w:w="108" w:type="dxa"/>
            <w:bottom w:w="0" w:type="dxa"/>
            <w:right w:w="108" w:type="dxa"/>
          </w:tblCellMar>
        </w:tblPrEx>
        <w:trPr>
          <w:trHeight w:val="312" w:hRule="atLeast"/>
        </w:trPr>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支持不同大数据组件（HDFS/HBASE/HIVE/KAFKA/ES等)、大数据平台(CDH/华为/星环等）的异构数据同步</w:t>
            </w:r>
          </w:p>
        </w:tc>
      </w:tr>
      <w:tr>
        <w:tblPrEx>
          <w:tblCellMar>
            <w:top w:w="0" w:type="dxa"/>
            <w:left w:w="108" w:type="dxa"/>
            <w:bottom w:w="0" w:type="dxa"/>
            <w:right w:w="108" w:type="dxa"/>
          </w:tblCellMar>
        </w:tblPrEx>
        <w:trPr>
          <w:trHeight w:val="312"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安全认证支持</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支持Oracle数据实时复制到基于kerbors安全认证的kafka环境，支持json格式数据实时入kerbors安全认证的kafka，支持可自定义包含json格式模板数据实时入kerbors安全认证的kafka；</w:t>
            </w:r>
          </w:p>
        </w:tc>
      </w:tr>
      <w:tr>
        <w:tblPrEx>
          <w:tblCellMar>
            <w:top w:w="0" w:type="dxa"/>
            <w:left w:w="108" w:type="dxa"/>
            <w:bottom w:w="0" w:type="dxa"/>
            <w:right w:w="108" w:type="dxa"/>
          </w:tblCellMar>
        </w:tblPrEx>
        <w:trPr>
          <w:trHeight w:val="312"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数据库复制要求</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支持一对一，双向，一对多，多对一，和级联复制；支持数据转换、数据拆分及分发；支持从多个数据库中同一类型表的记录整合到一个表中去；支持数据转换，包括列映射、增/删除列、列转换； </w:t>
            </w:r>
          </w:p>
          <w:p>
            <w:pPr>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支持从数据库日志中分析所有DDL操作，不影响整个同步过程。在源端数据库数据结构发生变化(如修改表结构，增加表等)后，软件可自动将新增结构变化同步到目标端，支持DDL策略配置。</w:t>
            </w:r>
          </w:p>
        </w:tc>
      </w:tr>
      <w:tr>
        <w:tblPrEx>
          <w:tblCellMar>
            <w:top w:w="0" w:type="dxa"/>
            <w:left w:w="108" w:type="dxa"/>
            <w:bottom w:w="0" w:type="dxa"/>
            <w:right w:w="108" w:type="dxa"/>
          </w:tblCellMar>
        </w:tblPrEx>
        <w:trPr>
          <w:trHeight w:val="312"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复杂环境应对能力</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支持无主键表同步</w:t>
            </w:r>
          </w:p>
          <w:p>
            <w:pPr>
              <w:spacing w:after="60"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支持“image/text/ntext”大字段数据类型的实时同步</w:t>
            </w:r>
          </w:p>
          <w:p>
            <w:pPr>
              <w:spacing w:after="60"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支持目标端自定义指定主键列</w:t>
            </w:r>
          </w:p>
          <w:p>
            <w:pPr>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支持过滤一些自增约束</w:t>
            </w:r>
          </w:p>
        </w:tc>
      </w:tr>
      <w:tr>
        <w:tblPrEx>
          <w:tblCellMar>
            <w:top w:w="0" w:type="dxa"/>
            <w:left w:w="108" w:type="dxa"/>
            <w:bottom w:w="0" w:type="dxa"/>
            <w:right w:w="108" w:type="dxa"/>
          </w:tblCellMar>
        </w:tblPrEx>
        <w:trPr>
          <w:trHeight w:val="312"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数据传输安全要求</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数据传输过程中采用严格加密方式防止数据泄漏，支持XML/Json/XF1等文件格式的数据输出，分析及装载。</w:t>
            </w:r>
          </w:p>
        </w:tc>
      </w:tr>
      <w:tr>
        <w:tblPrEx>
          <w:tblCellMar>
            <w:top w:w="0" w:type="dxa"/>
            <w:left w:w="108" w:type="dxa"/>
            <w:bottom w:w="0" w:type="dxa"/>
            <w:right w:w="108" w:type="dxa"/>
          </w:tblCellMar>
        </w:tblPrEx>
        <w:trPr>
          <w:trHeight w:val="312"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异构数据库同步支持</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软件支持源端SQL server到Oracle异构数据库环境下的数据实时复制（两端延时在5秒以内），且目标端Oracle数据库可实时查询，当生产端插入（Insert/ Update/delete）一千条数据后，目标端Oracle数据库无需启动，始终处于实时打开验证状态，并通过数据库select语句在5秒以内，查询到该一千条数据变化。</w:t>
            </w:r>
          </w:p>
          <w:p>
            <w:pPr>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提供此项功能截图并加盖供应商公章的证明文件，截图内容为真实环境或者自己搭建模拟环境，源端、目标端IP地址、数据变化轨迹以及软件运行日志需在一个截图展现；</w:t>
            </w:r>
          </w:p>
        </w:tc>
      </w:tr>
      <w:tr>
        <w:tblPrEx>
          <w:tblCellMar>
            <w:top w:w="0" w:type="dxa"/>
            <w:left w:w="108" w:type="dxa"/>
            <w:bottom w:w="0" w:type="dxa"/>
            <w:right w:w="108" w:type="dxa"/>
          </w:tblCellMar>
        </w:tblPrEx>
        <w:trPr>
          <w:trHeight w:val="312"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文件传输加密保护</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支持将数据流文件压缩、加密后传输能力</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支持国密算法加解密</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钥长度不小于256位；</w:t>
            </w:r>
          </w:p>
        </w:tc>
      </w:tr>
      <w:tr>
        <w:tblPrEx>
          <w:tblCellMar>
            <w:top w:w="0" w:type="dxa"/>
            <w:left w:w="108" w:type="dxa"/>
            <w:bottom w:w="0" w:type="dxa"/>
            <w:right w:w="108" w:type="dxa"/>
          </w:tblCellMar>
        </w:tblPrEx>
        <w:trPr>
          <w:trHeight w:val="312"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文件安全性要求</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文件同步提供误删除文件保护功能，对于生产主机误操作删除的文件，提供保护找回原文件功能；</w:t>
            </w:r>
          </w:p>
          <w:p>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文件同步实时防病毒保护功能，当生产主机遭遇勒索病毒攻击，文件被加密时，同步程序能够感知到文件被攻击，并立即停止文件同步的实时复制，避免将加密后的文件同步到灾备主机，保障灾备端文件不被勒索病毒加密。</w:t>
            </w:r>
          </w:p>
        </w:tc>
      </w:tr>
      <w:tr>
        <w:tblPrEx>
          <w:tblCellMar>
            <w:top w:w="0" w:type="dxa"/>
            <w:left w:w="108" w:type="dxa"/>
            <w:bottom w:w="0" w:type="dxa"/>
            <w:right w:w="108" w:type="dxa"/>
          </w:tblCellMar>
        </w:tblPrEx>
        <w:trPr>
          <w:trHeight w:val="312"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文件数据一致性验证要求</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支持对目标系统文件的准确性验证，确保文件复制的完整性和准确性；支持多种文件完整性验证和一致性验证比对方式，支持“文件大小 + 时间戳”、“文件大小 + CRC32”、“文件大小 + 时间戳 + CRC32”多种比对策略设置；</w:t>
            </w:r>
          </w:p>
        </w:tc>
      </w:tr>
      <w:tr>
        <w:tblPrEx>
          <w:tblCellMar>
            <w:top w:w="0" w:type="dxa"/>
            <w:left w:w="108" w:type="dxa"/>
            <w:bottom w:w="0" w:type="dxa"/>
            <w:right w:w="108" w:type="dxa"/>
          </w:tblCellMar>
        </w:tblPrEx>
        <w:trPr>
          <w:trHeight w:val="312"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故障处理要求</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在遇到系统错误引起的复制中断时，例如硬件故障、数据库故障、网络中断或延迟，分级存储机制能完好的保存已经合成的交易信息，避免数据丢失，直到系统故障解决，恢复从队列传输的中断点开始；</w:t>
            </w:r>
          </w:p>
          <w:p>
            <w:pPr>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生产灾备切换后，支持快速的增量回切、全量回切功能；</w:t>
            </w:r>
          </w:p>
        </w:tc>
      </w:tr>
      <w:tr>
        <w:tblPrEx>
          <w:tblCellMar>
            <w:top w:w="0" w:type="dxa"/>
            <w:left w:w="108" w:type="dxa"/>
            <w:bottom w:w="0" w:type="dxa"/>
            <w:right w:w="108" w:type="dxa"/>
          </w:tblCellMar>
        </w:tblPrEx>
        <w:trPr>
          <w:trHeight w:val="312"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数据比对要求</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数据一致性比对：软件自身自带数据比对平台，支持对数据条数、内容进行对比并展示；</w:t>
            </w:r>
          </w:p>
        </w:tc>
      </w:tr>
      <w:tr>
        <w:tblPrEx>
          <w:tblCellMar>
            <w:top w:w="0" w:type="dxa"/>
            <w:left w:w="108" w:type="dxa"/>
            <w:bottom w:w="0" w:type="dxa"/>
            <w:right w:w="108" w:type="dxa"/>
          </w:tblCellMar>
        </w:tblPrEx>
        <w:trPr>
          <w:trHeight w:val="312"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数据回溯功能要求</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软件能够将核心生产库数据实时同步到目标数据库，同时记录数据内容/操作类型（插入/删除/更新之前/更新之后）/操作时间，记录某些行数据的操作时间/操作类型/操作之前内容，做到生产库数据被人为恶意篡改的数据回溯、数据保护（提供原厂商此项功能性证明文件原件）</w:t>
            </w:r>
          </w:p>
        </w:tc>
      </w:tr>
      <w:tr>
        <w:tblPrEx>
          <w:tblCellMar>
            <w:top w:w="0" w:type="dxa"/>
            <w:left w:w="108" w:type="dxa"/>
            <w:bottom w:w="0" w:type="dxa"/>
            <w:right w:w="108" w:type="dxa"/>
          </w:tblCellMar>
        </w:tblPrEx>
        <w:trPr>
          <w:trHeight w:val="312" w:hRule="atLeast"/>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非侵入式安装要求</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无需部署agent，通过网络IP端口的TCP/IP方式采集监控。</w:t>
            </w:r>
          </w:p>
        </w:tc>
      </w:tr>
    </w:tbl>
    <w:p>
      <w:pPr>
        <w:pStyle w:val="13"/>
        <w:snapToGrid w:val="0"/>
        <w:spacing w:before="120" w:after="120" w:line="360" w:lineRule="auto"/>
        <w:ind w:firstLine="354" w:firstLineChars="147"/>
        <w:outlineLvl w:val="0"/>
        <w:rPr>
          <w:rFonts w:hint="eastAsia" w:ascii="宋体" w:hAnsi="宋体" w:eastAsia="宋体" w:cs="宋体"/>
          <w:b/>
          <w:bCs/>
          <w:sz w:val="24"/>
          <w:szCs w:val="24"/>
        </w:rPr>
      </w:pPr>
      <w:r>
        <w:rPr>
          <w:rFonts w:hint="eastAsia" w:ascii="宋体" w:hAnsi="宋体" w:eastAsia="宋体" w:cs="宋体"/>
          <w:b/>
          <w:bCs/>
          <w:sz w:val="24"/>
          <w:szCs w:val="24"/>
        </w:rPr>
        <w:t>备注：以上为设备的主要技术参数要求，</w:t>
      </w:r>
      <w:r>
        <w:rPr>
          <w:rFonts w:hint="eastAsia" w:ascii="宋体" w:hAnsi="宋体" w:eastAsia="宋体" w:cs="宋体"/>
          <w:b/>
          <w:bCs/>
          <w:sz w:val="24"/>
          <w:szCs w:val="24"/>
          <w:lang w:eastAsia="zh-CN"/>
        </w:rPr>
        <w:t>响应单位</w:t>
      </w:r>
      <w:r>
        <w:rPr>
          <w:rFonts w:hint="eastAsia" w:ascii="宋体" w:hAnsi="宋体" w:eastAsia="宋体" w:cs="宋体"/>
          <w:b/>
          <w:bCs/>
          <w:sz w:val="24"/>
          <w:szCs w:val="24"/>
        </w:rPr>
        <w:t>在</w:t>
      </w:r>
      <w:r>
        <w:rPr>
          <w:rFonts w:hint="eastAsia" w:ascii="宋体" w:hAnsi="宋体" w:eastAsia="宋体" w:cs="宋体"/>
          <w:b/>
          <w:bCs/>
          <w:sz w:val="24"/>
          <w:szCs w:val="24"/>
          <w:lang w:eastAsia="zh-CN"/>
        </w:rPr>
        <w:t>响应</w:t>
      </w:r>
      <w:r>
        <w:rPr>
          <w:rFonts w:hint="eastAsia" w:ascii="宋体" w:hAnsi="宋体" w:eastAsia="宋体" w:cs="宋体"/>
          <w:b/>
          <w:bCs/>
          <w:sz w:val="24"/>
          <w:szCs w:val="24"/>
        </w:rPr>
        <w:t>时需提供加盖</w:t>
      </w:r>
      <w:r>
        <w:rPr>
          <w:rFonts w:hint="eastAsia" w:ascii="宋体" w:hAnsi="宋体" w:eastAsia="宋体" w:cs="宋体"/>
          <w:b/>
          <w:bCs/>
          <w:sz w:val="24"/>
          <w:szCs w:val="24"/>
          <w:lang w:eastAsia="zh-CN"/>
        </w:rPr>
        <w:t>响应</w:t>
      </w:r>
      <w:r>
        <w:rPr>
          <w:rFonts w:hint="eastAsia" w:ascii="宋体" w:hAnsi="宋体" w:eastAsia="宋体" w:cs="宋体"/>
          <w:b/>
          <w:bCs/>
          <w:sz w:val="24"/>
          <w:szCs w:val="24"/>
        </w:rPr>
        <w:t>人公章的截图证明材料、技术参数偏离表；</w:t>
      </w:r>
      <w:r>
        <w:rPr>
          <w:rFonts w:hint="eastAsia" w:ascii="宋体" w:hAnsi="宋体" w:eastAsia="宋体" w:cs="宋体"/>
          <w:b/>
          <w:bCs/>
          <w:sz w:val="24"/>
          <w:szCs w:val="24"/>
          <w:lang w:eastAsia="zh-CN"/>
        </w:rPr>
        <w:t>响应</w:t>
      </w:r>
      <w:r>
        <w:rPr>
          <w:rFonts w:hint="eastAsia" w:ascii="宋体" w:hAnsi="宋体" w:eastAsia="宋体" w:cs="宋体"/>
          <w:b/>
          <w:bCs/>
          <w:sz w:val="24"/>
          <w:szCs w:val="24"/>
        </w:rPr>
        <w:t>人在</w:t>
      </w:r>
      <w:r>
        <w:rPr>
          <w:rFonts w:hint="eastAsia" w:ascii="宋体" w:hAnsi="宋体" w:eastAsia="宋体" w:cs="宋体"/>
          <w:b/>
          <w:bCs/>
          <w:sz w:val="24"/>
          <w:szCs w:val="24"/>
          <w:lang w:eastAsia="zh-CN"/>
        </w:rPr>
        <w:t>响应</w:t>
      </w:r>
      <w:r>
        <w:rPr>
          <w:rFonts w:hint="eastAsia" w:ascii="宋体" w:hAnsi="宋体" w:eastAsia="宋体" w:cs="宋体"/>
          <w:b/>
          <w:bCs/>
          <w:sz w:val="24"/>
          <w:szCs w:val="24"/>
        </w:rPr>
        <w:t>时需提供承诺书，承诺所供产品为原厂质保产品（扫描件）；</w:t>
      </w:r>
      <w:r>
        <w:rPr>
          <w:rFonts w:hint="eastAsia" w:ascii="宋体" w:hAnsi="宋体" w:eastAsia="宋体" w:cs="宋体"/>
          <w:b/>
          <w:bCs/>
          <w:sz w:val="24"/>
          <w:szCs w:val="24"/>
          <w:lang w:eastAsia="zh-CN"/>
        </w:rPr>
        <w:t>成交</w:t>
      </w:r>
      <w:r>
        <w:rPr>
          <w:rFonts w:hint="eastAsia" w:ascii="宋体" w:hAnsi="宋体" w:eastAsia="宋体" w:cs="宋体"/>
          <w:b/>
          <w:bCs/>
          <w:sz w:val="24"/>
          <w:szCs w:val="24"/>
        </w:rPr>
        <w:t>后签合同前需提供原厂加盖公章截图证明材料、技术参数偏离表及原厂商针对本项目的质保服务</w:t>
      </w:r>
      <w:r>
        <w:rPr>
          <w:rFonts w:hint="eastAsia" w:ascii="宋体" w:hAnsi="宋体" w:eastAsia="宋体" w:cs="宋体"/>
          <w:b/>
          <w:bCs/>
          <w:color w:val="FF0000"/>
          <w:sz w:val="24"/>
          <w:szCs w:val="24"/>
        </w:rPr>
        <w:t>承诺函（原件）</w:t>
      </w:r>
      <w:r>
        <w:rPr>
          <w:rFonts w:hint="eastAsia" w:ascii="宋体" w:hAnsi="宋体" w:eastAsia="宋体" w:cs="宋体"/>
          <w:b/>
          <w:bCs/>
          <w:sz w:val="24"/>
          <w:szCs w:val="24"/>
        </w:rPr>
        <w:t>；否则视为无效</w:t>
      </w:r>
      <w:r>
        <w:rPr>
          <w:rFonts w:hint="eastAsia" w:ascii="宋体" w:hAnsi="宋体" w:eastAsia="宋体" w:cs="宋体"/>
          <w:b/>
          <w:bCs/>
          <w:sz w:val="24"/>
          <w:szCs w:val="24"/>
          <w:lang w:eastAsia="zh-CN"/>
        </w:rPr>
        <w:t>响应</w:t>
      </w:r>
      <w:r>
        <w:rPr>
          <w:rFonts w:hint="eastAsia" w:ascii="宋体" w:hAnsi="宋体" w:eastAsia="宋体" w:cs="宋体"/>
          <w:b/>
          <w:bCs/>
          <w:sz w:val="24"/>
          <w:szCs w:val="24"/>
        </w:rPr>
        <w:t>。必要时用户有权要求</w:t>
      </w:r>
      <w:r>
        <w:rPr>
          <w:rFonts w:hint="eastAsia" w:ascii="宋体" w:hAnsi="宋体" w:eastAsia="宋体" w:cs="宋体"/>
          <w:b/>
          <w:bCs/>
          <w:sz w:val="24"/>
          <w:szCs w:val="24"/>
          <w:lang w:eastAsia="zh-CN"/>
        </w:rPr>
        <w:t>成交</w:t>
      </w:r>
      <w:r>
        <w:rPr>
          <w:rFonts w:hint="eastAsia" w:ascii="宋体" w:hAnsi="宋体" w:eastAsia="宋体" w:cs="宋体"/>
          <w:b/>
          <w:bCs/>
          <w:sz w:val="24"/>
          <w:szCs w:val="24"/>
        </w:rPr>
        <w:t>人在</w:t>
      </w:r>
      <w:r>
        <w:rPr>
          <w:rFonts w:hint="eastAsia" w:ascii="宋体" w:hAnsi="宋体" w:eastAsia="宋体" w:cs="宋体"/>
          <w:b/>
          <w:bCs/>
          <w:sz w:val="24"/>
          <w:szCs w:val="24"/>
          <w:lang w:eastAsia="zh-CN"/>
        </w:rPr>
        <w:t>成交</w:t>
      </w:r>
      <w:r>
        <w:rPr>
          <w:rFonts w:hint="eastAsia" w:ascii="宋体" w:hAnsi="宋体" w:eastAsia="宋体" w:cs="宋体"/>
          <w:b/>
          <w:bCs/>
          <w:sz w:val="24"/>
          <w:szCs w:val="24"/>
        </w:rPr>
        <w:t>后三个工作日内提供样机进行功能性测试，发现虚假强行应标的将拒绝授予合同，并报政府采购监管部门。</w:t>
      </w:r>
    </w:p>
    <w:p>
      <w:pPr>
        <w:pStyle w:val="13"/>
        <w:snapToGrid w:val="0"/>
        <w:spacing w:before="120" w:after="120" w:line="360" w:lineRule="auto"/>
        <w:ind w:firstLine="354" w:firstLineChars="147"/>
        <w:outlineLvl w:val="0"/>
        <w:rPr>
          <w:rFonts w:hint="eastAsia" w:ascii="Times New Roman" w:hAnsi="Times New Roman" w:eastAsia="宋体" w:cs="宋体"/>
          <w:b/>
          <w:sz w:val="24"/>
          <w:szCs w:val="24"/>
          <w:lang w:eastAsia="zh-CN"/>
        </w:rPr>
      </w:pPr>
      <w:r>
        <w:rPr>
          <w:rFonts w:hint="eastAsia" w:ascii="Times New Roman" w:hAnsi="Times New Roman" w:eastAsia="宋体" w:cs="宋体"/>
          <w:b/>
          <w:sz w:val="24"/>
          <w:szCs w:val="24"/>
          <w:lang w:eastAsia="zh-CN"/>
        </w:rPr>
        <w:t>四、采购标的数量、采购项目交付或者实施的时间和地点</w:t>
      </w:r>
    </w:p>
    <w:p>
      <w:pPr>
        <w:pStyle w:val="13"/>
        <w:snapToGrid w:val="0"/>
        <w:spacing w:before="120" w:after="120" w:line="360" w:lineRule="auto"/>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设备</w:t>
      </w:r>
      <w:r>
        <w:rPr>
          <w:rFonts w:hint="eastAsia" w:ascii="宋体" w:hAnsi="宋体" w:eastAsia="宋体" w:cs="宋体"/>
          <w:b/>
          <w:bCs/>
          <w:sz w:val="24"/>
          <w:szCs w:val="24"/>
          <w:lang w:eastAsia="zh-CN"/>
        </w:rPr>
        <w:t>采购</w:t>
      </w:r>
      <w:r>
        <w:rPr>
          <w:rFonts w:hint="eastAsia" w:ascii="宋体" w:hAnsi="宋体" w:eastAsia="宋体" w:cs="宋体"/>
          <w:b/>
          <w:bCs/>
          <w:sz w:val="24"/>
          <w:szCs w:val="24"/>
        </w:rPr>
        <w:t>清单</w:t>
      </w:r>
    </w:p>
    <w:tbl>
      <w:tblPr>
        <w:tblStyle w:val="21"/>
        <w:tblW w:w="8927" w:type="dxa"/>
        <w:jc w:val="center"/>
        <w:tblLayout w:type="autofit"/>
        <w:tblCellMar>
          <w:top w:w="0" w:type="dxa"/>
          <w:left w:w="108" w:type="dxa"/>
          <w:bottom w:w="0" w:type="dxa"/>
          <w:right w:w="108" w:type="dxa"/>
        </w:tblCellMar>
      </w:tblPr>
      <w:tblGrid>
        <w:gridCol w:w="702"/>
        <w:gridCol w:w="1082"/>
        <w:gridCol w:w="4474"/>
        <w:gridCol w:w="704"/>
        <w:gridCol w:w="780"/>
        <w:gridCol w:w="1185"/>
      </w:tblGrid>
      <w:tr>
        <w:tblPrEx>
          <w:tblCellMar>
            <w:top w:w="0" w:type="dxa"/>
            <w:left w:w="108" w:type="dxa"/>
            <w:bottom w:w="0" w:type="dxa"/>
            <w:right w:w="108" w:type="dxa"/>
          </w:tblCellMar>
        </w:tblPrEx>
        <w:trPr>
          <w:trHeight w:val="480"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lang w:bidi="ar"/>
                <w14:textFill>
                  <w14:solidFill>
                    <w14:schemeClr w14:val="tx1"/>
                  </w14:solidFill>
                </w14:textFill>
              </w:rPr>
              <w:t>序号</w:t>
            </w: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lang w:bidi="ar"/>
                <w14:textFill>
                  <w14:solidFill>
                    <w14:schemeClr w14:val="tx1"/>
                  </w14:solidFill>
                </w14:textFill>
              </w:rPr>
              <w:t>项目</w:t>
            </w:r>
          </w:p>
        </w:tc>
        <w:tc>
          <w:tcPr>
            <w:tcW w:w="447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lang w:bidi="ar"/>
                <w14:textFill>
                  <w14:solidFill>
                    <w14:schemeClr w14:val="tx1"/>
                  </w14:solidFill>
                </w14:textFill>
              </w:rPr>
              <w:t>配置参数</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lang w:bidi="ar"/>
                <w14:textFill>
                  <w14:solidFill>
                    <w14:schemeClr w14:val="tx1"/>
                  </w14:solidFill>
                </w14:textFill>
              </w:rPr>
              <w:t>数量</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lang w:bidi="ar"/>
                <w14:textFill>
                  <w14:solidFill>
                    <w14:schemeClr w14:val="tx1"/>
                  </w14:solidFill>
                </w14:textFill>
              </w:rPr>
              <w:t>单位</w:t>
            </w:r>
          </w:p>
        </w:tc>
        <w:tc>
          <w:tcPr>
            <w:tcW w:w="11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
                <w:bCs w:val="0"/>
                <w:color w:val="000000" w:themeColor="text1"/>
                <w:kern w:val="0"/>
                <w:sz w:val="24"/>
                <w:szCs w:val="24"/>
                <w:lang w:bidi="ar"/>
                <w14:textFill>
                  <w14:solidFill>
                    <w14:schemeClr w14:val="tx1"/>
                  </w14:solidFill>
                </w14:textFill>
              </w:rPr>
            </w:pPr>
            <w:r>
              <w:rPr>
                <w:rFonts w:hint="eastAsia" w:ascii="宋体" w:hAnsi="宋体" w:eastAsia="宋体" w:cs="宋体"/>
                <w:b/>
                <w:bCs w:val="0"/>
                <w:color w:val="000000" w:themeColor="text1"/>
                <w:kern w:val="0"/>
                <w:sz w:val="24"/>
                <w:szCs w:val="24"/>
                <w:lang w:bidi="ar"/>
                <w14:textFill>
                  <w14:solidFill>
                    <w14:schemeClr w14:val="tx1"/>
                  </w14:solidFill>
                </w14:textFill>
              </w:rPr>
              <w:t>推荐品牌</w:t>
            </w:r>
          </w:p>
        </w:tc>
      </w:tr>
      <w:tr>
        <w:tblPrEx>
          <w:tblCellMar>
            <w:top w:w="0" w:type="dxa"/>
            <w:left w:w="108" w:type="dxa"/>
            <w:bottom w:w="0" w:type="dxa"/>
            <w:right w:w="108" w:type="dxa"/>
          </w:tblCellMar>
        </w:tblPrEx>
        <w:trPr>
          <w:trHeight w:val="480"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准入及桌面管理</w:t>
            </w:r>
          </w:p>
        </w:tc>
        <w:tc>
          <w:tcPr>
            <w:tcW w:w="447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准入硬件平台为国产化设备，准入控制系统具备终端入网合规检测、旁路准入、干路准入等功能，准入授权1000点。桌面管理系统具备远程协助、日志审计、移动存储管理、外设管理、补丁管理、运维管理、水印管理、网络准入、安全检测等功能。（支持Windows系统和安卓系统），含1000点授权。原厂上门安装实施服务，7*24小时电话、远程、邮件支持服务。</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套</w:t>
            </w:r>
          </w:p>
        </w:tc>
        <w:tc>
          <w:tcPr>
            <w:tcW w:w="11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启明星辰</w:t>
            </w:r>
          </w:p>
          <w:p>
            <w:pPr>
              <w:pStyle w:val="2"/>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新华三</w:t>
            </w:r>
          </w:p>
          <w:p>
            <w:pPr>
              <w:spacing w:line="360" w:lineRule="auto"/>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阳途</w:t>
            </w:r>
          </w:p>
        </w:tc>
      </w:tr>
      <w:tr>
        <w:tblPrEx>
          <w:tblCellMar>
            <w:top w:w="0" w:type="dxa"/>
            <w:left w:w="108" w:type="dxa"/>
            <w:bottom w:w="0" w:type="dxa"/>
            <w:right w:w="108" w:type="dxa"/>
          </w:tblCellMar>
        </w:tblPrEx>
        <w:trPr>
          <w:trHeight w:val="480"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终端防病毒扩容</w:t>
            </w:r>
          </w:p>
        </w:tc>
        <w:tc>
          <w:tcPr>
            <w:tcW w:w="447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防病毒功能包括  周密预防：系统漏洞扫描，补丁修复管理、终端基线检查，资产盘点，资产主动发现，微隔离，轻补丁漏洞免疫；  全面防护：文件实时监控，勒索诱饵防护，勒索病毒立体防护，勒索攻击对抗，无文件攻击防护，停更系统智御；  灵敏检测：恶意文件检测，僵尸网络检测，暴力破解检测，网端联动杀毒；  快速响应：文件急速隔离，终端一键隔离，感染文件修复，病毒处置响应，网端深度联动（XDR），全网威胁定位；简便运维：外设管控，违规外联检测，远程桌面，广告弹</w:t>
            </w:r>
          </w:p>
          <w:p>
            <w:pPr>
              <w:widowControl/>
              <w:spacing w:line="360" w:lineRule="auto"/>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窗拦截；含3年升级维护费用。</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600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套</w:t>
            </w:r>
          </w:p>
        </w:tc>
        <w:tc>
          <w:tcPr>
            <w:tcW w:w="11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深信服</w:t>
            </w:r>
          </w:p>
          <w:p>
            <w:pPr>
              <w:widowControl/>
              <w:spacing w:line="360" w:lineRule="auto"/>
              <w:jc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启明星辰</w:t>
            </w:r>
          </w:p>
          <w:p>
            <w:pPr>
              <w:widowControl/>
              <w:spacing w:line="360" w:lineRule="auto"/>
              <w:jc w:val="center"/>
              <w:rPr>
                <w:rFonts w:hint="eastAsia" w:ascii="宋体" w:hAnsi="宋体" w:eastAsia="宋体" w:cs="宋体"/>
                <w:sz w:val="24"/>
                <w:szCs w:val="24"/>
                <w:lang w:bidi="ar"/>
              </w:rPr>
            </w:pPr>
            <w:r>
              <w:rPr>
                <w:rFonts w:hint="eastAsia" w:ascii="宋体" w:hAnsi="宋体" w:eastAsia="宋体" w:cs="宋体"/>
                <w:color w:val="000000" w:themeColor="text1"/>
                <w:kern w:val="0"/>
                <w:sz w:val="24"/>
                <w:szCs w:val="24"/>
                <w:lang w:bidi="ar"/>
                <w14:textFill>
                  <w14:solidFill>
                    <w14:schemeClr w14:val="tx1"/>
                  </w14:solidFill>
                </w14:textFill>
              </w:rPr>
              <w:t>天融信</w:t>
            </w:r>
          </w:p>
        </w:tc>
      </w:tr>
      <w:tr>
        <w:tblPrEx>
          <w:tblCellMar>
            <w:top w:w="0" w:type="dxa"/>
            <w:left w:w="108" w:type="dxa"/>
            <w:bottom w:w="0" w:type="dxa"/>
            <w:right w:w="108" w:type="dxa"/>
          </w:tblCellMar>
        </w:tblPrEx>
        <w:trPr>
          <w:trHeight w:val="480"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108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数据库高性能复制平台</w:t>
            </w:r>
          </w:p>
        </w:tc>
        <w:tc>
          <w:tcPr>
            <w:tcW w:w="447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将生产系统中的数据实时同步复制到目标数据库，使目标库成为①灾备数据库/用于业务接管，②查询/报表数据库，降低生产系统的压力，③实现数据交互/共享平台，④数据抽取/合并/分发⑤数据库迁移/升级应用等。含：2个源端数据库复制模块授权，提供原厂安装调试、认证培训，一年原厂季度巡检、7×24响应、重大数据故障现场技术支持、计划性灾备切换演练、软件补丁和版本升级服务。</w:t>
            </w:r>
          </w:p>
        </w:tc>
        <w:tc>
          <w:tcPr>
            <w:tcW w:w="70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套</w:t>
            </w:r>
          </w:p>
        </w:tc>
        <w:tc>
          <w:tcPr>
            <w:tcW w:w="118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深信服</w:t>
            </w:r>
          </w:p>
          <w:p>
            <w:pPr>
              <w:pStyle w:val="2"/>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DSG</w:t>
            </w:r>
          </w:p>
          <w:p>
            <w:pPr>
              <w:spacing w:line="360" w:lineRule="auto"/>
              <w:jc w:val="center"/>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科力锐</w:t>
            </w:r>
          </w:p>
        </w:tc>
      </w:tr>
    </w:tbl>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注：本项目中的建议品牌只是建议所采购产品（设备）的档次。</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供应商可以选择建议品牌，也可以选择建议品牌以外的品牌，但所选品牌档次须等于或高于建议品牌档次。当三分之二评委认定，所选品牌档次低于建议品牌档次的，将作无效响应处理。投标供应商的自我阐述及宣传彩页等不作采信依据。投标人提供非建议品牌产品投标的，必须按以下要求提供证明文件，以便评委开标用以评审替代的品牌、产品技术标准是否优于或等于此次招标项目需求品牌、产品的技术标准，而满足采购人的采购需要：提供由相关权威机构出具的非建议品牌竞标产品的“①检测报告；②技术白皮书；③生产许可证”，并在技术标响应文件内须提供该“①、②、③”项加盖生产厂家红章的资料证明文件的复印件。</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本项目中，采购人提供的产品规格型号（含技术参数）要求如有排它性指标，则该指标不作强制性要求，投标人可以自行调整，但须保证技术参数无偏离或正偏离，同时还必须提供以下材料：</w:t>
      </w:r>
    </w:p>
    <w:p>
      <w:pPr>
        <w:numPr>
          <w:ilvl w:val="0"/>
          <w:numId w:val="1"/>
        </w:numPr>
        <w:spacing w:line="360" w:lineRule="auto"/>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指标排它性的证明材料；</w:t>
      </w:r>
    </w:p>
    <w:p>
      <w:pPr>
        <w:numPr>
          <w:ilvl w:val="0"/>
          <w:numId w:val="1"/>
        </w:numPr>
        <w:spacing w:line="360" w:lineRule="auto"/>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产品调整对比表；</w:t>
      </w:r>
    </w:p>
    <w:p>
      <w:pPr>
        <w:numPr>
          <w:ilvl w:val="0"/>
          <w:numId w:val="1"/>
        </w:numPr>
        <w:spacing w:line="360" w:lineRule="auto"/>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调整后产品的详细技术参数；</w:t>
      </w:r>
    </w:p>
    <w:p>
      <w:pPr>
        <w:numPr>
          <w:ilvl w:val="0"/>
          <w:numId w:val="1"/>
        </w:numPr>
        <w:spacing w:line="360" w:lineRule="auto"/>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提供新参数的生产制造商证明文件：①由“第三方权威检测机构”出具的检测报告；②技术白皮书；③生产许可证，且①②③项的复印件必须加盖厂家红章。</w:t>
      </w:r>
    </w:p>
    <w:p>
      <w:pPr>
        <w:numPr>
          <w:ilvl w:val="0"/>
          <w:numId w:val="0"/>
        </w:numPr>
        <w:spacing w:line="360" w:lineRule="auto"/>
        <w:ind w:firstLine="241" w:firstLineChars="100"/>
        <w:textAlignment w:val="baseline"/>
        <w:rPr>
          <w:rFonts w:hint="eastAsia" w:ascii="Times New Roman" w:hAnsi="Times New Roman" w:eastAsia="宋体" w:cs="宋体"/>
          <w:b/>
          <w:bCs/>
          <w:sz w:val="24"/>
          <w:szCs w:val="24"/>
        </w:rPr>
      </w:pPr>
      <w:r>
        <w:rPr>
          <w:rFonts w:hint="eastAsia" w:ascii="Times New Roman" w:hAnsi="Times New Roman" w:eastAsia="宋体" w:cs="宋体"/>
          <w:b/>
          <w:bCs/>
          <w:sz w:val="24"/>
          <w:szCs w:val="24"/>
          <w:lang w:val="en-US" w:eastAsia="zh-CN"/>
        </w:rPr>
        <w:t>2、</w:t>
      </w:r>
      <w:r>
        <w:rPr>
          <w:rFonts w:hint="eastAsia" w:ascii="Times New Roman" w:hAnsi="Times New Roman" w:eastAsia="宋体" w:cs="宋体"/>
          <w:b/>
          <w:bCs/>
          <w:sz w:val="24"/>
          <w:szCs w:val="24"/>
        </w:rPr>
        <w:t>交货期</w:t>
      </w:r>
    </w:p>
    <w:p>
      <w:pPr>
        <w:numPr>
          <w:ilvl w:val="0"/>
          <w:numId w:val="0"/>
        </w:numPr>
        <w:spacing w:line="360" w:lineRule="auto"/>
        <w:ind w:firstLine="480" w:firstLineChars="200"/>
        <w:textAlignment w:val="baseline"/>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自合同签定之日起30天内</w:t>
      </w:r>
      <w:r>
        <w:rPr>
          <w:rFonts w:hint="eastAsia" w:ascii="Times New Roman" w:hAnsi="Times New Roman" w:eastAsia="宋体" w:cs="宋体"/>
          <w:sz w:val="24"/>
          <w:szCs w:val="24"/>
          <w:lang w:val="zh-CN" w:eastAsia="zh-CN"/>
        </w:rPr>
        <w:t>完成并通过采购人验收</w:t>
      </w:r>
      <w:r>
        <w:rPr>
          <w:rFonts w:hint="eastAsia" w:ascii="Times New Roman" w:hAnsi="Times New Roman" w:eastAsia="宋体" w:cs="宋体"/>
          <w:sz w:val="24"/>
          <w:szCs w:val="24"/>
          <w:lang w:eastAsia="zh-CN"/>
        </w:rPr>
        <w:t>。</w:t>
      </w:r>
    </w:p>
    <w:p>
      <w:pPr>
        <w:numPr>
          <w:ilvl w:val="0"/>
          <w:numId w:val="0"/>
        </w:numPr>
        <w:spacing w:line="360" w:lineRule="auto"/>
        <w:ind w:leftChars="0" w:firstLine="241" w:firstLineChars="100"/>
        <w:textAlignment w:val="baseline"/>
        <w:rPr>
          <w:rFonts w:hint="eastAsia" w:ascii="Times New Roman" w:hAnsi="Times New Roman" w:eastAsia="宋体" w:cs="宋体"/>
          <w:b/>
          <w:bCs/>
          <w:sz w:val="24"/>
          <w:szCs w:val="24"/>
        </w:rPr>
      </w:pPr>
      <w:r>
        <w:rPr>
          <w:rFonts w:hint="eastAsia" w:ascii="Times New Roman" w:hAnsi="Times New Roman" w:eastAsia="宋体" w:cs="宋体"/>
          <w:b/>
          <w:bCs/>
          <w:sz w:val="24"/>
          <w:szCs w:val="24"/>
          <w:lang w:val="en-US" w:eastAsia="zh-CN"/>
        </w:rPr>
        <w:t>3、</w:t>
      </w:r>
      <w:r>
        <w:rPr>
          <w:rFonts w:hint="eastAsia" w:ascii="Times New Roman" w:hAnsi="Times New Roman" w:eastAsia="宋体" w:cs="宋体"/>
          <w:b/>
          <w:bCs/>
          <w:sz w:val="24"/>
          <w:szCs w:val="24"/>
        </w:rPr>
        <w:t>交货地点</w:t>
      </w:r>
    </w:p>
    <w:p>
      <w:pPr>
        <w:numPr>
          <w:ilvl w:val="0"/>
          <w:numId w:val="0"/>
        </w:numPr>
        <w:spacing w:line="360" w:lineRule="auto"/>
        <w:ind w:firstLine="480" w:firstLineChars="200"/>
        <w:textAlignment w:val="baseline"/>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南通市第三人民医院指定地点</w:t>
      </w:r>
      <w:r>
        <w:rPr>
          <w:rFonts w:hint="eastAsia" w:ascii="Times New Roman" w:hAnsi="Times New Roman" w:eastAsia="宋体" w:cs="宋体"/>
          <w:sz w:val="24"/>
          <w:szCs w:val="24"/>
          <w:lang w:eastAsia="zh-CN"/>
        </w:rPr>
        <w:t>。</w:t>
      </w:r>
    </w:p>
    <w:p>
      <w:pPr>
        <w:spacing w:line="360" w:lineRule="auto"/>
        <w:ind w:firstLine="496" w:firstLineChars="206"/>
        <w:textAlignment w:val="baseline"/>
        <w:rPr>
          <w:rFonts w:hint="eastAsia" w:ascii="Times New Roman" w:hAnsi="Times New Roman" w:eastAsia="宋体" w:cs="宋体"/>
          <w:b/>
          <w:sz w:val="24"/>
          <w:szCs w:val="24"/>
          <w:lang w:val="zh-CN"/>
        </w:rPr>
      </w:pPr>
      <w:r>
        <w:rPr>
          <w:rFonts w:hint="eastAsia" w:ascii="Times New Roman" w:hAnsi="Times New Roman" w:eastAsia="宋体" w:cs="宋体"/>
          <w:b/>
          <w:sz w:val="24"/>
          <w:szCs w:val="24"/>
          <w:lang w:eastAsia="zh-CN"/>
        </w:rPr>
        <w:t>五、</w:t>
      </w:r>
      <w:r>
        <w:rPr>
          <w:rFonts w:hint="eastAsia" w:ascii="Times New Roman" w:hAnsi="Times New Roman" w:eastAsia="宋体" w:cs="宋体"/>
          <w:b/>
          <w:sz w:val="24"/>
          <w:szCs w:val="24"/>
        </w:rPr>
        <w:t>采购标的需满足的服务标准、期限、效率等要求</w:t>
      </w:r>
    </w:p>
    <w:p>
      <w:pPr>
        <w:spacing w:line="360" w:lineRule="auto"/>
        <w:ind w:firstLine="480" w:firstLineChars="200"/>
        <w:textAlignment w:val="baseline"/>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本项目整体质保期三年，免费送货、免费安装、免费培训，在保修期内免费维护维修及技术支持，保修期以外提供免费维护和技术支持，维修只收材料成本费。设备发生故障时，接到用户通知2小时内上门，24小时内解决问题。</w:t>
      </w:r>
    </w:p>
    <w:p>
      <w:pPr>
        <w:pStyle w:val="18"/>
        <w:widowControl/>
        <w:shd w:val="clear" w:color="auto" w:fill="FFFFFF"/>
        <w:spacing w:before="0" w:beforeAutospacing="0" w:after="0" w:afterAutospacing="0" w:line="360" w:lineRule="auto"/>
        <w:ind w:firstLine="482" w:firstLineChars="200"/>
        <w:jc w:val="both"/>
        <w:textAlignment w:val="baseline"/>
        <w:rPr>
          <w:rFonts w:hint="eastAsia" w:ascii="Times New Roman" w:hAnsi="Times New Roman" w:cs="宋体"/>
          <w:b/>
          <w:bCs/>
          <w:szCs w:val="24"/>
          <w:shd w:val="clear" w:color="auto" w:fill="FFFFFF"/>
        </w:rPr>
      </w:pPr>
      <w:r>
        <w:rPr>
          <w:rFonts w:hint="eastAsia" w:ascii="Times New Roman" w:hAnsi="Times New Roman" w:cs="宋体"/>
          <w:b/>
          <w:bCs/>
          <w:szCs w:val="24"/>
          <w:shd w:val="clear" w:color="auto" w:fill="FFFFFF"/>
          <w:lang w:eastAsia="zh-CN"/>
        </w:rPr>
        <w:t>六、</w:t>
      </w:r>
      <w:r>
        <w:rPr>
          <w:rFonts w:hint="eastAsia" w:ascii="Times New Roman" w:hAnsi="Times New Roman" w:cs="宋体"/>
          <w:b/>
          <w:bCs/>
          <w:szCs w:val="24"/>
          <w:shd w:val="clear" w:color="auto" w:fill="FFFFFF"/>
        </w:rPr>
        <w:t>采购标的验收标准</w:t>
      </w:r>
    </w:p>
    <w:p>
      <w:pPr>
        <w:spacing w:line="360" w:lineRule="auto"/>
        <w:ind w:firstLine="480" w:firstLineChars="200"/>
        <w:textAlignment w:val="baseline"/>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采购单位按合同约定积极配合供应商履约，按合同约定及时组织相关专业技术人员进行验收，并出具验收报告，验收合格的作为支付款项的依据。</w:t>
      </w:r>
    </w:p>
    <w:p>
      <w:pPr>
        <w:pStyle w:val="18"/>
        <w:widowControl/>
        <w:shd w:val="clear" w:color="auto" w:fill="FFFFFF"/>
        <w:spacing w:before="0" w:beforeAutospacing="0" w:after="0" w:afterAutospacing="0" w:line="360" w:lineRule="auto"/>
        <w:ind w:firstLine="482" w:firstLineChars="200"/>
        <w:jc w:val="both"/>
        <w:textAlignment w:val="baseline"/>
        <w:rPr>
          <w:rFonts w:hint="eastAsia" w:ascii="Times New Roman" w:hAnsi="Times New Roman" w:cs="宋体"/>
          <w:b/>
          <w:bCs/>
          <w:szCs w:val="24"/>
          <w:shd w:val="clear" w:color="auto" w:fill="FFFFFF"/>
        </w:rPr>
      </w:pPr>
      <w:r>
        <w:rPr>
          <w:rFonts w:hint="eastAsia" w:ascii="Times New Roman" w:hAnsi="Times New Roman" w:cs="宋体"/>
          <w:b/>
          <w:bCs/>
          <w:szCs w:val="24"/>
          <w:shd w:val="clear" w:color="auto" w:fill="FFFFFF"/>
          <w:lang w:eastAsia="zh-CN"/>
        </w:rPr>
        <w:t>七、</w:t>
      </w:r>
      <w:r>
        <w:rPr>
          <w:rFonts w:hint="eastAsia" w:ascii="Times New Roman" w:hAnsi="Times New Roman" w:cs="宋体"/>
          <w:b/>
          <w:bCs/>
          <w:szCs w:val="24"/>
          <w:shd w:val="clear" w:color="auto" w:fill="FFFFFF"/>
        </w:rPr>
        <w:t>采购标的其他技术、服务等要求</w:t>
      </w:r>
    </w:p>
    <w:p>
      <w:pPr>
        <w:spacing w:line="360" w:lineRule="auto"/>
        <w:ind w:firstLine="480" w:firstLineChars="200"/>
        <w:textAlignment w:val="baseline"/>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质量保证期内提供工程师免费上门安装、调试、售后服务；提供完备的软件、技术资料和用户维护手册。</w:t>
      </w:r>
    </w:p>
    <w:p>
      <w:pPr>
        <w:pStyle w:val="18"/>
        <w:widowControl/>
        <w:shd w:val="clear" w:color="auto" w:fill="FFFFFF"/>
        <w:spacing w:before="0" w:beforeAutospacing="0" w:after="0" w:afterAutospacing="0" w:line="360" w:lineRule="auto"/>
        <w:ind w:firstLine="482" w:firstLineChars="200"/>
        <w:jc w:val="both"/>
        <w:textAlignment w:val="baseline"/>
        <w:rPr>
          <w:rFonts w:hint="eastAsia" w:ascii="Times New Roman" w:hAnsi="Times New Roman" w:cs="宋体"/>
          <w:b/>
          <w:bCs/>
          <w:szCs w:val="24"/>
          <w:shd w:val="clear" w:color="auto" w:fill="FFFFFF"/>
        </w:rPr>
      </w:pPr>
      <w:r>
        <w:rPr>
          <w:rFonts w:hint="eastAsia" w:ascii="Times New Roman" w:hAnsi="Times New Roman" w:cs="宋体"/>
          <w:b/>
          <w:bCs/>
          <w:szCs w:val="24"/>
          <w:shd w:val="clear" w:color="auto" w:fill="FFFFFF"/>
          <w:lang w:eastAsia="zh-CN"/>
        </w:rPr>
        <w:t>八、</w:t>
      </w:r>
      <w:r>
        <w:rPr>
          <w:rFonts w:hint="eastAsia" w:ascii="Times New Roman" w:hAnsi="Times New Roman" w:cs="宋体"/>
          <w:b/>
          <w:bCs/>
          <w:szCs w:val="24"/>
          <w:shd w:val="clear" w:color="auto" w:fill="FFFFFF"/>
        </w:rPr>
        <w:t>付款条件</w:t>
      </w:r>
    </w:p>
    <w:p>
      <w:pPr>
        <w:spacing w:line="360" w:lineRule="auto"/>
        <w:ind w:firstLine="480" w:firstLineChars="200"/>
        <w:textAlignment w:val="baseline"/>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项目实施完毕验收合格后15个工作日内，支付合同全款的</w:t>
      </w:r>
      <w:r>
        <w:rPr>
          <w:rFonts w:hint="eastAsia" w:ascii="Times New Roman" w:hAnsi="Times New Roman" w:eastAsia="宋体" w:cs="宋体"/>
          <w:sz w:val="24"/>
          <w:szCs w:val="24"/>
          <w:lang w:val="en-US" w:eastAsia="zh-CN"/>
        </w:rPr>
        <w:t>9</w:t>
      </w:r>
      <w:r>
        <w:rPr>
          <w:rFonts w:hint="eastAsia" w:ascii="Times New Roman" w:hAnsi="Times New Roman" w:eastAsia="宋体" w:cs="宋体"/>
          <w:sz w:val="24"/>
          <w:szCs w:val="24"/>
          <w:lang w:val="zh-CN"/>
        </w:rPr>
        <w:t>0%；余款10%在质保期满后15个工作日内付清。</w:t>
      </w:r>
    </w:p>
    <w:p>
      <w:pPr>
        <w:snapToGrid w:val="0"/>
        <w:spacing w:line="480" w:lineRule="exact"/>
        <w:ind w:firstLine="422" w:firstLineChars="176"/>
        <w:outlineLvl w:val="1"/>
        <w:rPr>
          <w:rFonts w:ascii="Times New Roman" w:hAnsi="Times New Roman" w:eastAsia="宋体" w:cs="宋体"/>
          <w:bCs/>
          <w:sz w:val="24"/>
          <w:szCs w:val="24"/>
        </w:rPr>
      </w:pPr>
      <w:r>
        <w:rPr>
          <w:rFonts w:hint="eastAsia" w:ascii="宋体" w:hAnsi="宋体" w:cs="宋体"/>
          <w:sz w:val="2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0" w:name="_Toc38121794"/>
      <w:bookmarkStart w:id="11" w:name="_Toc37322565"/>
      <w:bookmarkStart w:id="12" w:name="_Toc85627670"/>
      <w:bookmarkStart w:id="13" w:name="_Toc43217893"/>
      <w:bookmarkStart w:id="14" w:name="_Toc182848996"/>
      <w:r>
        <w:rPr>
          <w:rFonts w:hint="eastAsia" w:ascii="Times New Roman" w:hAnsi="Times New Roman" w:eastAsia="宋体" w:cs="宋体"/>
          <w:w w:val="80"/>
          <w:sz w:val="48"/>
          <w:szCs w:val="44"/>
        </w:rPr>
        <w:t xml:space="preserve"> 评审方法和程序</w:t>
      </w:r>
      <w:bookmarkEnd w:id="10"/>
      <w:bookmarkEnd w:id="11"/>
      <w:bookmarkEnd w:id="12"/>
      <w:bookmarkEnd w:id="13"/>
      <w:bookmarkEnd w:id="14"/>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bookmarkStart w:id="15" w:name="_Toc363573857"/>
      <w:bookmarkEnd w:id="15"/>
      <w:r>
        <w:rPr>
          <w:rFonts w:hint="eastAsia" w:ascii="Times New Roman" w:hAnsi="Times New Roman" w:cs="宋体"/>
          <w:b/>
          <w:bCs/>
          <w:szCs w:val="24"/>
          <w:shd w:val="clear" w:color="auto" w:fill="FFFFFF"/>
        </w:rPr>
        <w:t>一、代理机构组织磋商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1、本次竞争性磋商依据《中华人民共和国政府采购法》、《政府采购竞争性磋商采购人式管理暂行办法》及有关法规成立磋商小组。磋商小组由3人以上单数组成。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（5）配合采购单位答复供应商提出的质疑；配合财政部门的投诉处理和监督检查工作。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二、磋商的原则及方法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1、磋商小组依据《中华人民共和国政府采购法》、《政府采购竞争性磋商采购人式管理暂行办法》以及有关政府采购的相关法规，遵循“公开、公平、公正、择优、信用”的原则进行磋商评审。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pacing w:line="360" w:lineRule="auto"/>
        <w:ind w:firstLine="482" w:firstLineChars="200"/>
        <w:textAlignment w:val="baseline"/>
        <w:rPr>
          <w:rFonts w:hint="eastAsia" w:ascii="Times New Roman" w:hAnsi="Times New Roman" w:eastAsia="宋体" w:cs="宋体"/>
          <w:b/>
          <w:bCs/>
          <w:color w:val="FF0000"/>
          <w:sz w:val="24"/>
          <w:szCs w:val="24"/>
        </w:rPr>
      </w:pPr>
      <w:r>
        <w:rPr>
          <w:rFonts w:hint="eastAsia" w:ascii="Times New Roman" w:hAnsi="Times New Roman" w:eastAsia="宋体" w:cs="宋体"/>
          <w:b/>
          <w:bCs/>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三、磋商评定结果的方法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lang w:val="en-US" w:eastAsia="zh-CN"/>
        </w:rPr>
        <w:t>70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lang w:val="en-US" w:eastAsia="zh-CN"/>
        </w:rPr>
        <w:t>30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四、综合评分评审标准</w:t>
      </w:r>
    </w:p>
    <w:p>
      <w:pPr>
        <w:adjustRightInd w:val="0"/>
        <w:snapToGrid w:val="0"/>
        <w:spacing w:line="500" w:lineRule="exact"/>
        <w:jc w:val="left"/>
        <w:rPr>
          <w:rFonts w:ascii="宋体" w:hAnsi="宋体" w:cs="宋体"/>
          <w:b/>
          <w:sz w:val="24"/>
          <w:szCs w:val="24"/>
        </w:rPr>
      </w:pPr>
      <w:r>
        <w:rPr>
          <w:rFonts w:hint="eastAsia" w:ascii="Times New Roman" w:hAnsi="Times New Roman" w:cs="宋体"/>
          <w:b/>
          <w:bCs/>
          <w:szCs w:val="24"/>
          <w:shd w:val="clear" w:color="auto" w:fill="FFFFFF"/>
        </w:rPr>
        <w:t>（一）</w:t>
      </w:r>
      <w:r>
        <w:rPr>
          <w:rFonts w:hint="eastAsia" w:ascii="宋体" w:hAnsi="宋体" w:cs="宋体"/>
          <w:b/>
          <w:sz w:val="24"/>
          <w:szCs w:val="24"/>
        </w:rPr>
        <w:t>商务技术分：</w:t>
      </w:r>
      <w:r>
        <w:rPr>
          <w:rFonts w:hint="eastAsia" w:ascii="宋体" w:hAnsi="宋体" w:cs="宋体"/>
          <w:b/>
          <w:sz w:val="24"/>
          <w:szCs w:val="24"/>
          <w:lang w:val="en-US" w:eastAsia="zh-CN"/>
        </w:rPr>
        <w:t>70</w:t>
      </w:r>
      <w:r>
        <w:rPr>
          <w:rFonts w:hint="eastAsia" w:ascii="宋体" w:hAnsi="宋体" w:cs="宋体"/>
          <w:b/>
          <w:sz w:val="24"/>
          <w:szCs w:val="24"/>
        </w:rPr>
        <w:t>分</w:t>
      </w:r>
    </w:p>
    <w:tbl>
      <w:tblPr>
        <w:tblStyle w:val="21"/>
        <w:tblW w:w="9089" w:type="dxa"/>
        <w:tblInd w:w="93" w:type="dxa"/>
        <w:tblLayout w:type="fixed"/>
        <w:tblCellMar>
          <w:top w:w="0" w:type="dxa"/>
          <w:left w:w="108" w:type="dxa"/>
          <w:bottom w:w="0" w:type="dxa"/>
          <w:right w:w="108" w:type="dxa"/>
        </w:tblCellMar>
      </w:tblPr>
      <w:tblGrid>
        <w:gridCol w:w="809"/>
        <w:gridCol w:w="1410"/>
        <w:gridCol w:w="825"/>
        <w:gridCol w:w="6045"/>
      </w:tblGrid>
      <w:tr>
        <w:tblPrEx>
          <w:tblCellMar>
            <w:top w:w="0" w:type="dxa"/>
            <w:left w:w="108" w:type="dxa"/>
            <w:bottom w:w="0" w:type="dxa"/>
            <w:right w:w="108" w:type="dxa"/>
          </w:tblCellMar>
        </w:tblPrEx>
        <w:trPr>
          <w:trHeight w:val="285"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序号 </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评分点名称 </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分值</w:t>
            </w:r>
          </w:p>
        </w:tc>
        <w:tc>
          <w:tcPr>
            <w:tcW w:w="60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评审标准</w:t>
            </w:r>
          </w:p>
        </w:tc>
      </w:tr>
      <w:tr>
        <w:tblPrEx>
          <w:tblCellMar>
            <w:top w:w="0" w:type="dxa"/>
            <w:left w:w="108" w:type="dxa"/>
            <w:bottom w:w="0" w:type="dxa"/>
            <w:right w:w="108" w:type="dxa"/>
          </w:tblCellMar>
        </w:tblPrEx>
        <w:trPr>
          <w:trHeight w:val="2537"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技术参数响应能力</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40</w:t>
            </w:r>
          </w:p>
        </w:tc>
        <w:tc>
          <w:tcPr>
            <w:tcW w:w="6045" w:type="dxa"/>
            <w:tcBorders>
              <w:top w:val="single" w:color="000000" w:sz="4" w:space="0"/>
              <w:left w:val="single" w:color="000000" w:sz="4" w:space="0"/>
              <w:bottom w:val="single" w:color="000000" w:sz="4" w:space="0"/>
              <w:right w:val="single" w:color="000000" w:sz="4" w:space="0"/>
            </w:tcBorders>
            <w:vAlign w:val="center"/>
          </w:tcPr>
          <w:p>
            <w:pPr>
              <w:spacing w:line="500" w:lineRule="exact"/>
              <w:ind w:right="105" w:rightChars="50" w:firstLine="480" w:firstLineChars="200"/>
              <w:rPr>
                <w:rFonts w:hint="eastAsia" w:ascii="宋体" w:hAnsi="宋体" w:eastAsia="宋体" w:cs="宋体"/>
                <w:sz w:val="24"/>
                <w:szCs w:val="24"/>
              </w:rPr>
            </w:pPr>
            <w:r>
              <w:rPr>
                <w:rFonts w:hint="eastAsia" w:ascii="宋体" w:hAnsi="宋体" w:eastAsia="宋体" w:cs="宋体"/>
                <w:sz w:val="24"/>
                <w:szCs w:val="24"/>
              </w:rPr>
              <w:t>依据</w:t>
            </w:r>
            <w:r>
              <w:rPr>
                <w:rFonts w:hint="eastAsia" w:ascii="宋体" w:hAnsi="宋体" w:eastAsia="宋体" w:cs="宋体"/>
                <w:sz w:val="24"/>
                <w:szCs w:val="24"/>
                <w:lang w:eastAsia="zh-CN"/>
              </w:rPr>
              <w:t>响应</w:t>
            </w:r>
            <w:r>
              <w:rPr>
                <w:rFonts w:hint="eastAsia" w:ascii="宋体" w:hAnsi="宋体" w:eastAsia="宋体" w:cs="宋体"/>
                <w:sz w:val="24"/>
                <w:szCs w:val="24"/>
              </w:rPr>
              <w:t>文件的《技术规格偏离表》截图及产品、厂商资质证明文件，技术响应基础分为40分，对于不满足项（负偏离或未提供证明文件），每个“★”项扣1分、每个非“★”号项扣0.5分，直至扣完为止。如果</w:t>
            </w:r>
            <w:r>
              <w:rPr>
                <w:rFonts w:hint="eastAsia" w:ascii="宋体" w:hAnsi="宋体" w:eastAsia="宋体" w:cs="宋体"/>
                <w:sz w:val="24"/>
                <w:szCs w:val="24"/>
                <w:lang w:eastAsia="zh-CN"/>
              </w:rPr>
              <w:t>采购</w:t>
            </w:r>
            <w:r>
              <w:rPr>
                <w:rFonts w:hint="eastAsia" w:ascii="宋体" w:hAnsi="宋体" w:eastAsia="宋体" w:cs="宋体"/>
                <w:sz w:val="24"/>
                <w:szCs w:val="24"/>
              </w:rPr>
              <w:t>文件中某条参数需要提供相关截图及资质证明文件，供应商未提供，视为不满足项。（设备硬件性能指标配置不接受负偏离）</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为了防止虚假应标，</w:t>
            </w:r>
            <w:r>
              <w:rPr>
                <w:rFonts w:hint="eastAsia" w:ascii="宋体" w:hAnsi="宋体" w:eastAsia="宋体" w:cs="宋体"/>
                <w:sz w:val="24"/>
                <w:szCs w:val="24"/>
                <w:lang w:eastAsia="zh-CN"/>
              </w:rPr>
              <w:t>磋商</w:t>
            </w:r>
            <w:r>
              <w:rPr>
                <w:rFonts w:hint="eastAsia" w:ascii="宋体" w:hAnsi="宋体" w:eastAsia="宋体" w:cs="宋体"/>
                <w:sz w:val="24"/>
                <w:szCs w:val="24"/>
              </w:rPr>
              <w:t>结束后，采购单位将要求</w:t>
            </w:r>
            <w:r>
              <w:rPr>
                <w:rFonts w:hint="eastAsia" w:ascii="宋体" w:hAnsi="宋体" w:eastAsia="宋体" w:cs="宋体"/>
                <w:sz w:val="24"/>
                <w:szCs w:val="24"/>
                <w:lang w:eastAsia="zh-CN"/>
              </w:rPr>
              <w:t>成交</w:t>
            </w:r>
            <w:r>
              <w:rPr>
                <w:rFonts w:hint="eastAsia" w:ascii="宋体" w:hAnsi="宋体" w:eastAsia="宋体" w:cs="宋体"/>
                <w:sz w:val="24"/>
                <w:szCs w:val="24"/>
              </w:rPr>
              <w:t>供应商通过测试逐一验证每条技术参数，如发现虚假应标，本项目将重新招标，并且该供应商不允许再次参与本项目投标。</w:t>
            </w:r>
          </w:p>
        </w:tc>
      </w:tr>
      <w:tr>
        <w:tblPrEx>
          <w:tblCellMar>
            <w:top w:w="0" w:type="dxa"/>
            <w:left w:w="108" w:type="dxa"/>
            <w:bottom w:w="0" w:type="dxa"/>
            <w:right w:w="108" w:type="dxa"/>
          </w:tblCellMar>
        </w:tblPrEx>
        <w:trPr>
          <w:trHeight w:val="1127"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技术方案</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6045" w:type="dxa"/>
            <w:tcBorders>
              <w:top w:val="single" w:color="000000" w:sz="4" w:space="0"/>
              <w:left w:val="single" w:color="000000" w:sz="4" w:space="0"/>
              <w:bottom w:val="single" w:color="000000" w:sz="4" w:space="0"/>
              <w:right w:val="single" w:color="000000" w:sz="4" w:space="0"/>
            </w:tcBorders>
            <w:vAlign w:val="center"/>
          </w:tcPr>
          <w:p>
            <w:pPr>
              <w:spacing w:line="500" w:lineRule="exact"/>
              <w:ind w:right="105" w:rightChars="50" w:firstLine="480" w:firstLineChars="200"/>
              <w:rPr>
                <w:rFonts w:hint="eastAsia" w:ascii="宋体" w:hAnsi="宋体" w:eastAsia="宋体" w:cs="宋体"/>
                <w:sz w:val="24"/>
                <w:szCs w:val="24"/>
              </w:rPr>
            </w:pPr>
            <w:r>
              <w:rPr>
                <w:rFonts w:hint="eastAsia" w:ascii="宋体" w:hAnsi="宋体" w:eastAsia="宋体" w:cs="宋体"/>
                <w:sz w:val="24"/>
                <w:szCs w:val="24"/>
              </w:rPr>
              <w:t>方案具备系统性，内容全面，脉络清晰，定位准确；资料详实，与现有设备及网络无缝对接并保证网络安全（好8-10分，一般4-7分，差0-3分）</w:t>
            </w:r>
          </w:p>
        </w:tc>
      </w:tr>
      <w:tr>
        <w:tblPrEx>
          <w:tblCellMar>
            <w:top w:w="0" w:type="dxa"/>
            <w:left w:w="108" w:type="dxa"/>
            <w:bottom w:w="0" w:type="dxa"/>
            <w:right w:w="108" w:type="dxa"/>
          </w:tblCellMar>
        </w:tblPrEx>
        <w:trPr>
          <w:trHeight w:val="2263"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专业能力</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6045" w:type="dxa"/>
            <w:tcBorders>
              <w:top w:val="single" w:color="000000" w:sz="4" w:space="0"/>
              <w:left w:val="single" w:color="000000" w:sz="4" w:space="0"/>
              <w:bottom w:val="single" w:color="000000" w:sz="4" w:space="0"/>
              <w:right w:val="single" w:color="000000" w:sz="4" w:space="0"/>
            </w:tcBorders>
            <w:vAlign w:val="center"/>
          </w:tcPr>
          <w:p>
            <w:pPr>
              <w:widowControl/>
              <w:spacing w:after="220" w:line="360" w:lineRule="auto"/>
              <w:jc w:val="left"/>
              <w:textAlignment w:val="center"/>
              <w:rPr>
                <w:rFonts w:hint="eastAsia" w:ascii="宋体" w:hAnsi="宋体" w:eastAsia="宋体" w:cs="宋体"/>
                <w:color w:val="000000"/>
                <w:sz w:val="24"/>
                <w:szCs w:val="24"/>
              </w:rPr>
            </w:pPr>
            <w:r>
              <w:rPr>
                <w:rFonts w:hint="eastAsia" w:ascii="宋体" w:hAnsi="宋体" w:eastAsia="宋体" w:cs="宋体"/>
                <w:sz w:val="24"/>
                <w:szCs w:val="24"/>
              </w:rPr>
              <w:t xml:space="preserve">1、具有CCRC信息安全服务资质证书（信息系统安全集成），提供得1分； </w:t>
            </w:r>
            <w:r>
              <w:rPr>
                <w:rFonts w:hint="eastAsia" w:ascii="宋体" w:hAnsi="宋体" w:eastAsia="宋体" w:cs="宋体"/>
                <w:sz w:val="24"/>
                <w:szCs w:val="24"/>
              </w:rPr>
              <w:br w:type="textWrapping"/>
            </w:r>
            <w:r>
              <w:rPr>
                <w:rFonts w:hint="eastAsia" w:ascii="宋体" w:hAnsi="宋体" w:eastAsia="宋体" w:cs="宋体"/>
                <w:sz w:val="24"/>
                <w:szCs w:val="24"/>
              </w:rPr>
              <w:t>2、具有CCRC信息安全服务资质证书（信息安全风险评估），提供得1分 ；</w:t>
            </w:r>
            <w:r>
              <w:rPr>
                <w:rFonts w:hint="eastAsia" w:ascii="宋体" w:hAnsi="宋体" w:eastAsia="宋体" w:cs="宋体"/>
                <w:sz w:val="24"/>
                <w:szCs w:val="24"/>
              </w:rPr>
              <w:br w:type="textWrapping"/>
            </w:r>
            <w:r>
              <w:rPr>
                <w:rFonts w:hint="eastAsia" w:ascii="宋体" w:hAnsi="宋体" w:eastAsia="宋体" w:cs="宋体"/>
                <w:sz w:val="24"/>
                <w:szCs w:val="24"/>
              </w:rPr>
              <w:t>3、具有CCRC信息安全服务资质证书（信息系统安全运维），提供得1分；</w:t>
            </w:r>
            <w:r>
              <w:rPr>
                <w:rFonts w:hint="eastAsia" w:ascii="宋体" w:hAnsi="宋体" w:eastAsia="宋体" w:cs="宋体"/>
                <w:sz w:val="24"/>
                <w:szCs w:val="24"/>
              </w:rPr>
              <w:br w:type="textWrapping"/>
            </w:r>
            <w:r>
              <w:rPr>
                <w:rFonts w:hint="eastAsia" w:ascii="宋体" w:hAnsi="宋体" w:eastAsia="宋体" w:cs="宋体"/>
                <w:sz w:val="24"/>
                <w:szCs w:val="24"/>
              </w:rPr>
              <w:t>注：投标时须提供上述证书复印件并加盖投标人公章，不提供或提供不满足条件不得分。</w:t>
            </w:r>
          </w:p>
        </w:tc>
      </w:tr>
      <w:tr>
        <w:tblPrEx>
          <w:tblCellMar>
            <w:top w:w="0" w:type="dxa"/>
            <w:left w:w="108" w:type="dxa"/>
            <w:bottom w:w="0" w:type="dxa"/>
            <w:right w:w="108" w:type="dxa"/>
          </w:tblCellMar>
        </w:tblPrEx>
        <w:trPr>
          <w:trHeight w:val="993"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成功案例</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60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sz w:val="24"/>
                <w:szCs w:val="24"/>
              </w:rPr>
              <w:t>提供近三年内类似项目案例合同复印件并加盖投标人公章，每提供一个案例合同得1分，最多6分；投标时，须提供业绩证明材料包括：合同、竣工（验收）报告，没有提供证明材料或证明材料不齐全的不得分，所有证明材料必须加盖投标人公章。</w:t>
            </w:r>
          </w:p>
        </w:tc>
      </w:tr>
      <w:tr>
        <w:tblPrEx>
          <w:tblCellMar>
            <w:top w:w="0" w:type="dxa"/>
            <w:left w:w="108" w:type="dxa"/>
            <w:bottom w:w="0" w:type="dxa"/>
            <w:right w:w="108" w:type="dxa"/>
          </w:tblCellMar>
        </w:tblPrEx>
        <w:trPr>
          <w:trHeight w:val="3858"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实施运维能力</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60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sz w:val="24"/>
                <w:szCs w:val="24"/>
              </w:rPr>
              <w:t>1、供应商工程师具有CISAW信息安全保障人员认证资格（安全运维（专业级），需提供相应证书），提供一份得1分，最多2分；</w:t>
            </w:r>
            <w:r>
              <w:rPr>
                <w:rFonts w:hint="eastAsia" w:ascii="宋体" w:hAnsi="宋体" w:eastAsia="宋体" w:cs="宋体"/>
                <w:sz w:val="24"/>
                <w:szCs w:val="24"/>
              </w:rPr>
              <w:br w:type="textWrapping"/>
            </w:r>
            <w:r>
              <w:rPr>
                <w:rFonts w:hint="eastAsia" w:ascii="宋体" w:hAnsi="宋体" w:eastAsia="宋体" w:cs="宋体"/>
                <w:sz w:val="24"/>
                <w:szCs w:val="24"/>
              </w:rPr>
              <w:t>2、供应商工程师具有CISAW信息安全保障人员认证资格（风险管理（专业级），需提供相应证书），提供一份得1分，最多2分；</w:t>
            </w:r>
            <w:r>
              <w:rPr>
                <w:rFonts w:hint="eastAsia" w:ascii="宋体" w:hAnsi="宋体" w:eastAsia="宋体" w:cs="宋体"/>
                <w:sz w:val="24"/>
                <w:szCs w:val="24"/>
              </w:rPr>
              <w:br w:type="textWrapping"/>
            </w:r>
            <w:r>
              <w:rPr>
                <w:rFonts w:hint="eastAsia" w:ascii="宋体" w:hAnsi="宋体" w:eastAsia="宋体" w:cs="宋体"/>
                <w:sz w:val="24"/>
                <w:szCs w:val="24"/>
              </w:rPr>
              <w:t>3、供应商工程师具有CISAW信息安全保障人员认证资格（安全集成（专业级），需提供相应证书），提供一份得1分，最多2分；</w:t>
            </w:r>
            <w:r>
              <w:rPr>
                <w:rFonts w:hint="eastAsia" w:ascii="宋体" w:hAnsi="宋体" w:eastAsia="宋体" w:cs="宋体"/>
                <w:sz w:val="24"/>
                <w:szCs w:val="24"/>
              </w:rPr>
              <w:br w:type="textWrapping"/>
            </w:r>
            <w:r>
              <w:rPr>
                <w:rFonts w:hint="eastAsia" w:ascii="宋体" w:hAnsi="宋体" w:eastAsia="宋体" w:cs="宋体"/>
                <w:sz w:val="24"/>
                <w:szCs w:val="24"/>
              </w:rPr>
              <w:t>4、具有国家信息安全测评注册信息安全专业人员CISP认证证书，提供一份得2分。</w:t>
            </w:r>
            <w:r>
              <w:rPr>
                <w:rFonts w:hint="eastAsia" w:ascii="宋体" w:hAnsi="宋体" w:eastAsia="宋体" w:cs="宋体"/>
                <w:sz w:val="24"/>
                <w:szCs w:val="24"/>
              </w:rPr>
              <w:br w:type="textWrapping"/>
            </w:r>
            <w:r>
              <w:rPr>
                <w:rFonts w:hint="eastAsia" w:ascii="宋体" w:hAnsi="宋体" w:eastAsia="宋体" w:cs="宋体"/>
                <w:sz w:val="24"/>
                <w:szCs w:val="24"/>
              </w:rPr>
              <w:t>注：提供证书复印件并加盖投标供应商公章及社保机构出具并盖章的投标企业为上述人员交纳的 2023年3月至2023年9月之间的任意一个月的养老保险缴费记录。</w:t>
            </w:r>
          </w:p>
        </w:tc>
      </w:tr>
      <w:tr>
        <w:tblPrEx>
          <w:tblCellMar>
            <w:top w:w="0" w:type="dxa"/>
            <w:left w:w="108" w:type="dxa"/>
            <w:bottom w:w="0" w:type="dxa"/>
            <w:right w:w="108" w:type="dxa"/>
          </w:tblCellMar>
        </w:tblPrEx>
        <w:trPr>
          <w:trHeight w:val="1700" w:hRule="atLeast"/>
        </w:trPr>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售后服务保障能力</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60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sz w:val="24"/>
                <w:szCs w:val="24"/>
              </w:rPr>
              <w:t>评审小组根据投标人提供的技术实施及培训方案进行打分，涉及详细的安全规划、技术实施、使用培训等进行横向比较，内容全面详实、具体合理的定为优得3分，根据上述参考因素由现场评委打分，内容有少于一项不合理的评定为良得2分，其余定为一般得1分；</w:t>
            </w:r>
          </w:p>
        </w:tc>
      </w:tr>
    </w:tbl>
    <w:p>
      <w:pPr>
        <w:spacing w:line="500" w:lineRule="exact"/>
        <w:ind w:right="105" w:rightChars="5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评委依据磋商文件载明的方法评分，评分四舍五入精确到小数点后两位。</w:t>
      </w:r>
    </w:p>
    <w:p>
      <w:pPr>
        <w:spacing w:line="500" w:lineRule="exact"/>
        <w:ind w:right="105" w:rightChars="5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响应供应商按照“评分标准表”中的打分要求及顺序提供相关材料，</w:t>
      </w:r>
      <w:r>
        <w:rPr>
          <w:rFonts w:hint="eastAsia" w:ascii="宋体" w:hAnsi="宋体" w:eastAsia="宋体" w:cs="宋体"/>
          <w:bCs/>
          <w:color w:val="000000"/>
          <w:kern w:val="0"/>
          <w:sz w:val="24"/>
          <w:szCs w:val="24"/>
        </w:rPr>
        <w:t>并请编制目录及页码，以最大限度的避免造成评委误判或漏判。</w:t>
      </w:r>
    </w:p>
    <w:p>
      <w:pPr>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bCs/>
          <w:color w:val="000000"/>
          <w:kern w:val="0"/>
          <w:sz w:val="24"/>
          <w:szCs w:val="24"/>
          <w:lang w:val="en-US" w:eastAsia="zh-CN"/>
        </w:rPr>
        <w:t>3</w:t>
      </w:r>
      <w:r>
        <w:rPr>
          <w:rFonts w:hint="eastAsia" w:ascii="宋体" w:hAnsi="宋体" w:eastAsia="宋体" w:cs="宋体"/>
          <w:bCs/>
          <w:color w:val="000000"/>
          <w:kern w:val="0"/>
          <w:sz w:val="24"/>
          <w:szCs w:val="24"/>
          <w:lang w:eastAsia="zh-CN"/>
        </w:rPr>
        <w:t>、</w:t>
      </w:r>
      <w:r>
        <w:rPr>
          <w:rFonts w:hint="eastAsia" w:ascii="宋体" w:hAnsi="宋体" w:eastAsia="宋体" w:cs="宋体"/>
          <w:b/>
          <w:sz w:val="24"/>
          <w:szCs w:val="24"/>
        </w:rPr>
        <w:t>以上证明材料提供原件复印件，复印件不清晰或关键内容无法辨识所引起的后果由响应供应商自行承担。</w:t>
      </w:r>
      <w:bookmarkStart w:id="16" w:name="_GoBack"/>
      <w:bookmarkEnd w:id="16"/>
    </w:p>
    <w:p>
      <w:pPr>
        <w:adjustRightInd w:val="0"/>
        <w:snapToGrid w:val="0"/>
        <w:spacing w:line="500" w:lineRule="exact"/>
        <w:jc w:val="left"/>
        <w:rPr>
          <w:rFonts w:ascii="宋体" w:hAnsi="宋体" w:cs="宋体"/>
          <w:b/>
          <w:sz w:val="24"/>
          <w:szCs w:val="24"/>
        </w:rPr>
      </w:pPr>
      <w:r>
        <w:rPr>
          <w:rFonts w:hint="eastAsia" w:ascii="宋体" w:hAnsi="宋体" w:cs="宋体"/>
          <w:b/>
          <w:sz w:val="24"/>
          <w:szCs w:val="24"/>
        </w:rPr>
        <w:t>（二）</w:t>
      </w:r>
      <w:r>
        <w:rPr>
          <w:rFonts w:hint="eastAsia" w:ascii="宋体" w:hAnsi="宋体" w:cs="宋体"/>
          <w:b/>
          <w:sz w:val="24"/>
          <w:szCs w:val="24"/>
          <w:lang w:val="zh-CN"/>
        </w:rPr>
        <w:t>价格分</w:t>
      </w:r>
      <w:r>
        <w:rPr>
          <w:rFonts w:hint="eastAsia" w:ascii="宋体" w:hAnsi="宋体" w:cs="宋体"/>
          <w:b/>
          <w:sz w:val="24"/>
          <w:szCs w:val="24"/>
        </w:rPr>
        <w:t>：</w:t>
      </w:r>
      <w:r>
        <w:rPr>
          <w:rFonts w:hint="eastAsia" w:ascii="宋体" w:hAnsi="宋体" w:cs="宋体"/>
          <w:b/>
          <w:sz w:val="24"/>
          <w:szCs w:val="24"/>
          <w:lang w:val="en-US" w:eastAsia="zh-CN"/>
        </w:rPr>
        <w:t>30</w:t>
      </w:r>
      <w:r>
        <w:rPr>
          <w:rFonts w:hint="eastAsia" w:ascii="宋体" w:hAnsi="宋体" w:cs="宋体"/>
          <w:b/>
          <w:sz w:val="24"/>
          <w:szCs w:val="24"/>
        </w:rPr>
        <w:t>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价格分统一采用低价优先法计算，即满足磋商文件要求且最后报价最低的供应商的价格为磋商基准价，其价格分为满分。其他供应商的价格分统一按照下列公式计算：</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磋商报价得分=（磋商基准价/最后磋商报价）×</w:t>
      </w:r>
      <w:r>
        <w:rPr>
          <w:rFonts w:hint="eastAsia" w:ascii="Times New Roman" w:hAnsi="Times New Roman" w:eastAsia="宋体" w:cs="宋体"/>
          <w:sz w:val="24"/>
          <w:szCs w:val="24"/>
          <w:lang w:val="en-US" w:eastAsia="zh-CN"/>
        </w:rPr>
        <w:t>30</w:t>
      </w:r>
      <w:r>
        <w:rPr>
          <w:rFonts w:hint="eastAsia" w:ascii="Times New Roman" w:hAnsi="Times New Roman" w:eastAsia="宋体" w:cs="宋体"/>
          <w:sz w:val="24"/>
          <w:szCs w:val="24"/>
        </w:rPr>
        <w:t>%×100。</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如评标委员会认为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价格严重偏离市场价，将取消</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人价格分得分。</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五、出现下列情形之一的，作无效标处理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1、响应文件未按规定要求密封、签署、盖章及主要资料不齐全的；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2、响应文件的资料有虚报或者谎报的；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3、响应文件中资格审查文件及技术响应文件出现磋商报价的内容；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4、不具备磋商文件规定的资格要求的；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5、响应文件有重大漏项或重大不合理的；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6、项目技术、方案不满足项目需求中的要求，有重大偏离或保留的；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7、磋商响应报价超出项目预算的；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8、被认定为低于成本报价磋商竞标的；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9、供应商的磋商报价高于自己前一轮的；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10、不符合法律、法规和磋商文件中规定的其他实质性响应要求的；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11、磋商小组依据法律法规可以认定为无效投标的其他情况；</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12、未按要求提供样品的</w:t>
      </w:r>
      <w:r>
        <w:rPr>
          <w:rFonts w:hint="eastAsia" w:ascii="Times New Roman" w:hAnsi="Times New Roman" w:eastAsia="宋体" w:cs="宋体"/>
          <w:color w:val="000000" w:themeColor="text1"/>
          <w:sz w:val="24"/>
          <w:szCs w:val="24"/>
          <w14:textFill>
            <w14:solidFill>
              <w14:schemeClr w14:val="tx1"/>
            </w14:solidFill>
          </w14:textFill>
        </w:rPr>
        <w:t>（如有）</w:t>
      </w:r>
      <w:r>
        <w:rPr>
          <w:rFonts w:hint="eastAsia" w:ascii="Times New Roman" w:hAnsi="Times New Roman" w:eastAsia="宋体" w:cs="宋体"/>
          <w:sz w:val="24"/>
          <w:szCs w:val="24"/>
        </w:rPr>
        <w:t>。</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六、出现下列情形之一的，作废标处理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2、因情况变化，不再符合规定的竞争性磋商采购人式所适用情形的；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pPr>
        <w:pStyle w:val="18"/>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七、成交通知</w:t>
      </w:r>
    </w:p>
    <w:p>
      <w:pPr>
        <w:spacing w:line="360" w:lineRule="auto"/>
        <w:ind w:firstLine="480" w:firstLineChars="200"/>
        <w:textAlignment w:val="baseline"/>
        <w:rPr>
          <w:rFonts w:ascii="Times New Roman" w:hAnsi="Times New Roman" w:eastAsia="宋体" w:cs="宋体"/>
          <w:b/>
          <w:w w:val="80"/>
          <w:kern w:val="44"/>
          <w:sz w:val="48"/>
          <w:szCs w:val="4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r>
        <w:rPr>
          <w:rFonts w:ascii="Times New Roman" w:hAnsi="Times New Roman" w:eastAsia="宋体" w:cs="宋体"/>
          <w:w w:val="80"/>
          <w:sz w:val="48"/>
          <w:szCs w:val="4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pPr>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w:t>
      </w:r>
      <w:r>
        <w:rPr>
          <w:rFonts w:hint="eastAsia" w:ascii="Times New Roman" w:hAnsi="Times New Roman" w:eastAsia="宋体" w:cs="宋体"/>
          <w:b w:val="0"/>
          <w:bCs w:val="0"/>
          <w:kern w:val="0"/>
          <w:sz w:val="24"/>
          <w:lang w:eastAsia="zh-CN"/>
        </w:rPr>
        <w:t>后</w:t>
      </w:r>
      <w:r>
        <w:rPr>
          <w:rFonts w:hint="eastAsia" w:ascii="Times New Roman" w:hAnsi="Times New Roman" w:eastAsia="宋体" w:cs="宋体"/>
          <w:b w:val="0"/>
          <w:bCs w:val="0"/>
          <w:color w:val="auto"/>
          <w:kern w:val="0"/>
          <w:sz w:val="24"/>
          <w:lang w:val="en-US" w:eastAsia="zh-CN"/>
        </w:rPr>
        <w:t>30</w:t>
      </w:r>
      <w:r>
        <w:rPr>
          <w:rFonts w:hint="eastAsia" w:ascii="Times New Roman" w:hAnsi="Times New Roman" w:eastAsia="宋体" w:cs="宋体"/>
          <w:b w:val="0"/>
          <w:bCs w:val="0"/>
          <w:color w:val="auto"/>
          <w:kern w:val="0"/>
          <w:sz w:val="24"/>
        </w:rPr>
        <w:t>日内</w:t>
      </w:r>
      <w:r>
        <w:rPr>
          <w:rFonts w:hint="eastAsia" w:ascii="Times New Roman" w:hAnsi="Times New Roman" w:eastAsia="宋体" w:cs="宋体"/>
          <w:b w:val="0"/>
          <w:bCs w:val="0"/>
          <w:kern w:val="0"/>
          <w:sz w:val="24"/>
        </w:rPr>
        <w:t>须</w:t>
      </w:r>
      <w:r>
        <w:rPr>
          <w:rFonts w:hint="eastAsia" w:ascii="Times New Roman" w:hAnsi="Times New Roman" w:eastAsia="宋体" w:cs="宋体"/>
          <w:kern w:val="0"/>
          <w:sz w:val="24"/>
        </w:rPr>
        <w:t>按照磋商文件确定的事项签订采购合同。合同一式四份，采购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rPr>
        <w:t xml:space="preserve">三份、供应商一份。所签合同不得对磋商文件作实质性修改。采购单位不得向成交供应商提出不合理的要求作为签订合同的条件，不得与成交供应商私下订立背离磋商文件实质性内容的协议。 </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二、采购单位按合同约定积极配合供应商履约。</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四、供应商出现违约情形，应当及时纠正或补偿；造成损失的，按合同约定追究违约责任；发现有假冒、伪劣、走私产品、商业贿赂等违法情形的，应由采购单位移交工商、质监、公安等行政执法部门依法查处。</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五、不响应付款方式的，视同响应文件无效，按无效响应文件处理。</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pPr>
        <w:spacing w:line="360" w:lineRule="auto"/>
        <w:ind w:firstLine="480" w:firstLineChars="200"/>
        <w:rPr>
          <w:rFonts w:ascii="Times New Roman" w:hAnsi="Times New Roman" w:eastAsia="宋体" w:cs="宋体"/>
          <w:b/>
          <w:iCs/>
          <w:color w:val="000000" w:themeColor="text1"/>
          <w:w w:val="80"/>
          <w:sz w:val="44"/>
          <w:szCs w:val="44"/>
          <w14:textFill>
            <w14:solidFill>
              <w14:schemeClr w14:val="tx1"/>
            </w14:solidFill>
          </w14:textFill>
        </w:rPr>
      </w:pPr>
      <w:r>
        <w:rPr>
          <w:rFonts w:hint="eastAsia" w:ascii="Times New Roman" w:hAnsi="Times New Roman" w:eastAsia="宋体" w:cs="宋体"/>
          <w:sz w:val="24"/>
        </w:rPr>
        <w:t>七、以上项目款的支付不计息。</w:t>
      </w:r>
    </w:p>
    <w:p>
      <w:pPr>
        <w:spacing w:line="360" w:lineRule="auto"/>
        <w:rPr>
          <w:rFonts w:ascii="Times New Roman" w:hAnsi="Times New Roman" w:eastAsia="宋体"/>
          <w:w w:val="80"/>
          <w:kern w:val="44"/>
        </w:rPr>
      </w:pPr>
    </w:p>
    <w:p>
      <w:pPr>
        <w:widowControl/>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一、质疑的提出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1、质疑人必须是直接参加本次磋商活动的当事人。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下载磋商文件的供应商应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对不能提供相关佐证材料的、涉及商业秘密的、非书面形式的、非送达的、匿名的《质疑函》将不予受理。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相关佐证材料要具备客观性、关联性、合法性，无法查实的（如宣传册、媒体报道、猜测、推理等）不能作为佐证材料。</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采购单位或采购代理机构不负责搜集相关佐证材料等工作。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二、《质疑函》的受理和回复</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1、《质疑函》须由质疑人的法定代表人或参加本次磋商被授权人送达采购单位和采购代理机构。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3、对不符合提出质疑要求的，出具《质疑退回通知书》并提出相关补充材料要求，质疑人未在规定的时间内提供补充佐证材料的，视同放弃质疑。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4、采购单位、采购代理机构负责将质疑人提出的质疑相关材料提供给相关专家或评审小组审核，并将审核意见回复质疑人。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5、因质疑情况复杂，组织论证或审查时间较长的，采购单位、采购代理机构以书面形式通知质疑人，可适当延长质疑回复处理时间。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三、质疑处理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1、质疑成立的处理。采购单位或采购代理机构终止采购，并建议有关部门给相关当事人予以处理。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2、质疑不成立的处理。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1）质疑人书面《申请撤回质疑函》的，不作违约处理。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2）质疑人在规定的时间内不配合进行质疑调查处理的，按自动撤回《质疑函》处理。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3）质疑人不按《质疑函》格式就提出质疑的，作违约处理。同时，视情列入不良供应商名单。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5）质疑人不能提供相关佐证材料的，采购单位、采购代理机构已指出，质疑人仍然坚持提出质疑的，作违约处理。同时，列入不良供应商名单。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7）质疑人承担使用虚假材料或恶意方式质疑的法律责任。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widowControl/>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pPr>
        <w:pStyle w:val="3"/>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spacing w:line="360" w:lineRule="auto"/>
        <w:ind w:firstLine="482" w:firstLineChars="20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一、资格审查文件（单独密封）：</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1、提供投标供应商企业法人营业执照（副本）及税务登记证（副本）的复印件；或者是三证合一的营业执照（副本）的复印件</w:t>
      </w:r>
      <w:r>
        <w:rPr>
          <w:rFonts w:hint="eastAsia" w:ascii="宋体" w:hAnsi="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法定代表人参加投标的，必须提供法定代表人身份证明及法定代表人本人身份证两项复印件（须加盖单位公章）；非法定代表人参加投标的，必须提供法定代表人签字或印章的授权委托书及被授权人本人身份证两项复印件；（须加盖单位公章）</w:t>
      </w:r>
    </w:p>
    <w:p>
      <w:pPr>
        <w:spacing w:line="360" w:lineRule="auto"/>
        <w:ind w:firstLine="480" w:firstLineChars="200"/>
        <w:textAlignment w:val="baseline"/>
        <w:rPr>
          <w:rFonts w:hint="eastAsia" w:ascii="Times New Roman" w:hAnsi="Times New Roman" w:eastAsia="宋体"/>
          <w:sz w:val="24"/>
          <w:szCs w:val="24"/>
        </w:rPr>
      </w:pPr>
      <w:r>
        <w:rPr>
          <w:rFonts w:hint="eastAsia" w:ascii="Times New Roman" w:hAnsi="Times New Roman" w:eastAsia="宋体"/>
          <w:sz w:val="24"/>
          <w:szCs w:val="24"/>
        </w:rPr>
        <w:t>3、提供供应商符合《中华人民共和国政府采购法》第二十二条规定条件的声明函。</w:t>
      </w:r>
    </w:p>
    <w:p>
      <w:pPr>
        <w:spacing w:line="360" w:lineRule="auto"/>
        <w:ind w:firstLine="480" w:firstLineChars="200"/>
        <w:textAlignment w:val="baseline"/>
        <w:rPr>
          <w:rFonts w:hint="default" w:ascii="Times New Roman" w:hAnsi="Times New Roman" w:eastAsia="宋体"/>
          <w:sz w:val="24"/>
          <w:szCs w:val="24"/>
          <w:highlight w:val="none"/>
          <w:lang w:val="en-US" w:eastAsia="zh-CN"/>
        </w:rPr>
      </w:pPr>
      <w:r>
        <w:rPr>
          <w:rFonts w:hint="eastAsia" w:ascii="Times New Roman" w:hAnsi="Times New Roman" w:eastAsia="宋体"/>
          <w:sz w:val="24"/>
          <w:szCs w:val="24"/>
          <w:lang w:val="en-US" w:eastAsia="zh-CN"/>
        </w:rPr>
        <w:t>4、</w:t>
      </w:r>
      <w:r>
        <w:rPr>
          <w:rFonts w:hint="eastAsia" w:ascii="Times New Roman" w:hAnsi="Times New Roman"/>
          <w:sz w:val="24"/>
          <w:szCs w:val="24"/>
        </w:rPr>
        <w:t>诚信承诺书（</w:t>
      </w:r>
      <w:r>
        <w:rPr>
          <w:rFonts w:hint="eastAsia" w:ascii="Times New Roman" w:hAnsi="Times New Roman" w:cs="宋体"/>
          <w:sz w:val="24"/>
          <w:szCs w:val="24"/>
        </w:rPr>
        <w:t>格式参见附件）</w:t>
      </w:r>
      <w:r>
        <w:rPr>
          <w:rFonts w:hint="eastAsia" w:ascii="Times New Roman" w:hAnsi="Times New Roman" w:eastAsia="宋体"/>
          <w:sz w:val="24"/>
          <w:szCs w:val="24"/>
          <w:highlight w:val="none"/>
          <w:lang w:val="en-US" w:eastAsia="zh-CN"/>
        </w:rPr>
        <w:t>。</w:t>
      </w:r>
    </w:p>
    <w:p>
      <w:pPr>
        <w:spacing w:line="360" w:lineRule="auto"/>
        <w:ind w:firstLine="482" w:firstLineChars="200"/>
        <w:jc w:val="left"/>
        <w:textAlignment w:val="baseline"/>
        <w:rPr>
          <w:rFonts w:ascii="Times New Roman" w:hAnsi="Times New Roman" w:eastAsia="宋体"/>
          <w:b/>
          <w:sz w:val="24"/>
          <w:szCs w:val="24"/>
          <w:highlight w:val="none"/>
        </w:rPr>
      </w:pPr>
      <w:r>
        <w:rPr>
          <w:rFonts w:hint="eastAsia" w:ascii="Times New Roman" w:hAnsi="Times New Roman" w:eastAsia="宋体"/>
          <w:b/>
          <w:sz w:val="24"/>
          <w:szCs w:val="24"/>
          <w:highlight w:val="none"/>
        </w:rPr>
        <w:t>以上材料如为复印件均需加盖投标单位公章。</w:t>
      </w:r>
    </w:p>
    <w:p>
      <w:pPr>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highlight w:val="none"/>
        </w:rPr>
        <w:t>二、技术响</w:t>
      </w:r>
      <w:r>
        <w:rPr>
          <w:rFonts w:hint="eastAsia" w:ascii="Times New Roman" w:hAnsi="Times New Roman" w:eastAsia="宋体"/>
          <w:b/>
          <w:bCs/>
          <w:sz w:val="24"/>
          <w:szCs w:val="24"/>
        </w:rPr>
        <w:t>应文件（单独密封）：</w:t>
      </w:r>
    </w:p>
    <w:p>
      <w:pPr>
        <w:spacing w:line="360" w:lineRule="auto"/>
        <w:ind w:firstLine="480" w:firstLineChars="200"/>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1、技术商务条款响应正负偏离表</w:t>
      </w:r>
      <w:r>
        <w:rPr>
          <w:rFonts w:hint="eastAsia" w:ascii="Times New Roman" w:hAnsi="Times New Roman" w:eastAsia="宋体" w:cs="宋体"/>
          <w:sz w:val="24"/>
          <w:szCs w:val="24"/>
        </w:rPr>
        <w:t>（格式参见附件）</w:t>
      </w:r>
    </w:p>
    <w:p>
      <w:pPr>
        <w:spacing w:line="360" w:lineRule="auto"/>
        <w:ind w:firstLine="480" w:firstLineChars="200"/>
        <w:jc w:val="left"/>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lang w:val="en-US" w:eastAsia="zh-CN"/>
        </w:rPr>
        <w:t>2、</w:t>
      </w:r>
      <w:r>
        <w:rPr>
          <w:rFonts w:hint="eastAsia" w:ascii="Times New Roman" w:hAnsi="Times New Roman" w:eastAsia="宋体" w:cs="宋体"/>
          <w:bCs/>
          <w:sz w:val="24"/>
          <w:szCs w:val="24"/>
        </w:rPr>
        <w:t>磋商文件中评分标准所涉及的事项需提供的所有资料；</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lang w:val="en-US" w:eastAsia="zh-CN"/>
        </w:rPr>
        <w:t>3</w:t>
      </w:r>
      <w:r>
        <w:rPr>
          <w:rFonts w:hint="eastAsia" w:ascii="Times New Roman" w:hAnsi="Times New Roman" w:eastAsia="宋体" w:cs="宋体"/>
          <w:bCs/>
          <w:sz w:val="24"/>
          <w:szCs w:val="24"/>
        </w:rPr>
        <w:t>、磋商文件中未涉及的事项，投标供应商认为需要提交的其他资料。</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特别提醒：“资格审查文件”、“技术响应文件”所须提供的材料按磋商文件要求装订，密封，递交。</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1、竞争性磋商响应函（格式参见附件）；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2、磋商响应报价表（格式参见附件）；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3、磋商响应报价明细表；</w:t>
      </w:r>
    </w:p>
    <w:p>
      <w:pPr>
        <w:spacing w:line="360" w:lineRule="auto"/>
        <w:ind w:firstLine="480" w:firstLineChars="200"/>
        <w:textAlignment w:val="baseline"/>
        <w:rPr>
          <w:rFonts w:ascii="Times New Roman" w:hAnsi="Times New Roman" w:eastAsia="宋体" w:cs="宋体"/>
          <w:sz w:val="24"/>
          <w:szCs w:val="24"/>
        </w:rPr>
      </w:pP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pPr>
        <w:spacing w:line="360" w:lineRule="auto"/>
        <w:jc w:val="center"/>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lang w:eastAsia="zh-CN"/>
        </w:rPr>
        <w:t>南通市第三人民医院网络安全改造项目</w:t>
      </w:r>
      <w:r>
        <w:rPr>
          <w:rFonts w:hint="eastAsia" w:ascii="Times New Roman" w:hAnsi="Times New Roman" w:eastAsia="宋体" w:cs="宋体"/>
          <w:sz w:val="24"/>
          <w:szCs w:val="24"/>
        </w:rPr>
        <w:t>（竞争性磋商项目名称）项目的磋商活动，全权代表我公司处理该磋商活动的有关事宜。</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pPr>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lang w:eastAsia="zh-CN"/>
        </w:rPr>
        <w:t>南通市第三人民医院网络安全改造项目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pPr>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pPr>
        <w:spacing w:line="360" w:lineRule="auto"/>
        <w:ind w:left="1" w:firstLine="480" w:firstLineChars="200"/>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pPr>
        <w:widowControl/>
        <w:spacing w:line="360" w:lineRule="auto"/>
        <w:jc w:val="left"/>
        <w:rPr>
          <w:rFonts w:ascii="Times New Roman" w:hAnsi="Times New Roman" w:eastAsia="宋体" w:cs="宋体"/>
          <w:sz w:val="24"/>
          <w:szCs w:val="24"/>
        </w:rPr>
      </w:pP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3、供应商符合《中华人民共和国政府采购法》第二十二条规定条件的声明函</w:t>
      </w:r>
    </w:p>
    <w:p>
      <w:pPr>
        <w:snapToGrid w:val="0"/>
        <w:spacing w:line="360" w:lineRule="auto"/>
        <w:rPr>
          <w:rFonts w:ascii="Times New Roman" w:hAnsi="Times New Roman" w:eastAsia="宋体" w:cs="Times New Roman"/>
          <w:sz w:val="24"/>
          <w:szCs w:val="21"/>
          <w:u w:val="single"/>
        </w:rPr>
      </w:pPr>
    </w:p>
    <w:p>
      <w:pPr>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14:textFill>
            <w14:solidFill>
              <w14:schemeClr w14:val="tx1"/>
            </w14:solidFill>
          </w14:textFill>
        </w:rPr>
        <w:t>南通市第三人民医院</w:t>
      </w:r>
      <w:r>
        <w:rPr>
          <w:rFonts w:ascii="Times New Roman" w:hAnsi="Times New Roman" w:eastAsia="宋体" w:cs="Times New Roman"/>
          <w:bCs/>
          <w:sz w:val="24"/>
          <w:szCs w:val="21"/>
        </w:rPr>
        <w:t>：</w:t>
      </w:r>
    </w:p>
    <w:p>
      <w:pPr>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pPr>
        <w:spacing w:line="360" w:lineRule="auto"/>
        <w:rPr>
          <w:rFonts w:ascii="Times New Roman" w:hAnsi="Times New Roman" w:eastAsia="宋体" w:cs="Times New Roman"/>
          <w:sz w:val="28"/>
          <w:szCs w:val="20"/>
        </w:rPr>
      </w:pPr>
    </w:p>
    <w:p>
      <w:pPr>
        <w:spacing w:line="360" w:lineRule="auto"/>
        <w:ind w:firstLine="480" w:firstLineChars="200"/>
        <w:jc w:val="right"/>
        <w:rPr>
          <w:rFonts w:ascii="Times New Roman" w:hAnsi="Times New Roman" w:eastAsia="宋体" w:cs="宋体"/>
          <w:sz w:val="24"/>
          <w:szCs w:val="24"/>
        </w:rPr>
      </w:pP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投标供应商：（加盖公章）</w:t>
      </w: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pPr>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4、若我方中标，将严格按照规定及时与招标单位签订合同；</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5、若我方中标，将严格按照投标文件所承诺的报价、质量、供货期等内容组织实施；</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pPr>
        <w:spacing w:line="360" w:lineRule="auto"/>
        <w:ind w:firstLine="560" w:firstLineChars="200"/>
        <w:rPr>
          <w:rFonts w:ascii="Times New Roman" w:hAnsi="Times New Roman" w:eastAsia="宋体" w:cs="宋体"/>
          <w:bCs/>
          <w:sz w:val="28"/>
          <w:szCs w:val="28"/>
        </w:rPr>
      </w:pP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投标供应商：（加盖公章）</w:t>
      </w: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spacing w:line="360" w:lineRule="auto"/>
        <w:jc w:val="left"/>
        <w:rPr>
          <w:rFonts w:hint="eastAsia"/>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b/>
          <w:sz w:val="24"/>
          <w:szCs w:val="24"/>
        </w:rPr>
      </w:pPr>
      <w:r>
        <w:rPr>
          <w:rFonts w:hint="eastAsia" w:ascii="Times New Roman" w:hAnsi="Times New Roman" w:eastAsia="宋体"/>
          <w:b/>
          <w:sz w:val="24"/>
          <w:szCs w:val="24"/>
          <w:lang w:val="en-US" w:eastAsia="zh-CN"/>
        </w:rPr>
        <w:t>5</w:t>
      </w:r>
      <w:r>
        <w:rPr>
          <w:rFonts w:hint="eastAsia" w:ascii="Times New Roman" w:hAnsi="Times New Roman" w:eastAsia="宋体"/>
          <w:b/>
          <w:sz w:val="24"/>
          <w:szCs w:val="24"/>
        </w:rPr>
        <w:t>、技术商务条款响应正负偏离表</w:t>
      </w:r>
    </w:p>
    <w:p>
      <w:pPr>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357"/>
        <w:gridCol w:w="2302"/>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1357"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采购文件条目号</w:t>
            </w:r>
          </w:p>
        </w:tc>
        <w:tc>
          <w:tcPr>
            <w:tcW w:w="2302"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135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135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135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p>
        </w:tc>
        <w:tc>
          <w:tcPr>
            <w:tcW w:w="135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bl>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1、响应人提交的响应文件中与磋商文件第三部分“项目需求说明”中的商务、技术部分的要求有不同时，应逐条填列在偏离表中，否则将认为响应人接受磋商文件的所有要求。完全响应部分不填到。</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2、“偏离说明”一栏选择“正偏离”、“负偏离”进行填写。正偏离的确认和负偏离的是否相应磋商文件，经三分之二评委认定。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pPr>
        <w:spacing w:line="360" w:lineRule="auto"/>
        <w:rPr>
          <w:rFonts w:ascii="Times New Roman" w:hAnsi="Times New Roman" w:eastAsia="宋体" w:cs="仿宋"/>
          <w:sz w:val="28"/>
          <w:szCs w:val="28"/>
        </w:rPr>
      </w:pPr>
    </w:p>
    <w:p>
      <w:pPr>
        <w:widowControl/>
        <w:spacing w:line="360" w:lineRule="auto"/>
        <w:jc w:val="center"/>
        <w:rPr>
          <w:rFonts w:ascii="Times New Roman" w:hAnsi="Times New Roman" w:eastAsia="宋体" w:cs="宋体"/>
          <w:b/>
          <w:bCs/>
          <w:sz w:val="24"/>
          <w:szCs w:val="24"/>
        </w:rPr>
      </w:pP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widowControl/>
        <w:spacing w:line="360" w:lineRule="auto"/>
        <w:jc w:val="center"/>
        <w:rPr>
          <w:rFonts w:ascii="Times New Roman" w:hAnsi="Times New Roman" w:eastAsia="宋体" w:cs="宋体"/>
          <w:b/>
          <w:bCs/>
          <w:sz w:val="24"/>
          <w:szCs w:val="24"/>
        </w:rPr>
      </w:pPr>
      <w:r>
        <w:rPr>
          <w:rFonts w:hint="eastAsia" w:ascii="Times New Roman" w:hAnsi="Times New Roman" w:eastAsia="宋体" w:cs="宋体"/>
          <w:b/>
          <w:bCs/>
          <w:sz w:val="24"/>
          <w:szCs w:val="24"/>
          <w:lang w:val="en-US" w:eastAsia="zh-CN"/>
        </w:rPr>
        <w:t>6</w:t>
      </w:r>
      <w:r>
        <w:rPr>
          <w:rFonts w:hint="eastAsia" w:ascii="Times New Roman" w:hAnsi="Times New Roman" w:eastAsia="宋体" w:cs="宋体"/>
          <w:b/>
          <w:bCs/>
          <w:sz w:val="24"/>
          <w:szCs w:val="24"/>
        </w:rPr>
        <w:t>、竞争性磋商响应函</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w:t>
      </w:r>
      <w:r>
        <w:rPr>
          <w:rFonts w:hint="eastAsia" w:ascii="Times New Roman" w:hAnsi="Times New Roman" w:eastAsia="宋体"/>
          <w:sz w:val="24"/>
          <w:szCs w:val="24"/>
          <w:u w:val="single"/>
        </w:rPr>
        <w:t>（姓名）（职务）为</w:t>
      </w:r>
      <w:r>
        <w:rPr>
          <w:rFonts w:hint="eastAsia" w:ascii="Times New Roman" w:hAnsi="Times New Roman" w:eastAsia="宋体"/>
          <w:sz w:val="24"/>
          <w:szCs w:val="24"/>
        </w:rPr>
        <w:t>全权代表参加该项目的磋商工作，全权处理本次竞争性磋商的有关事宜。同时，我公司声明如下：</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pPr>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、一旦成交，我方承诺无正当理由拒绝签订合同，将被贵方取消成交资格，同意贵方将磋商保证金作为违约金全额不予退还的处理。</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pPr>
        <w:spacing w:line="360" w:lineRule="auto"/>
        <w:ind w:firstLine="2760" w:firstLineChars="1150"/>
        <w:textAlignment w:val="baseline"/>
        <w:rPr>
          <w:rFonts w:ascii="Times New Roman" w:hAnsi="Times New Roman" w:eastAsia="宋体"/>
          <w:sz w:val="24"/>
          <w:szCs w:val="24"/>
        </w:rPr>
      </w:pPr>
    </w:p>
    <w:p>
      <w:pPr>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pPr>
        <w:widowControl/>
        <w:spacing w:line="360" w:lineRule="auto"/>
        <w:jc w:val="left"/>
        <w:rPr>
          <w:rFonts w:ascii="Times New Roman" w:hAnsi="Times New Roman" w:eastAsia="宋体"/>
          <w:sz w:val="24"/>
          <w:szCs w:val="24"/>
        </w:rPr>
      </w:pPr>
      <w:r>
        <w:rPr>
          <w:rFonts w:ascii="Times New Roman" w:hAnsi="Times New Roman" w:eastAsia="宋体"/>
          <w:sz w:val="24"/>
          <w:szCs w:val="24"/>
        </w:rPr>
        <w:br w:type="page"/>
      </w:r>
    </w:p>
    <w:p>
      <w:pPr>
        <w:widowControl/>
        <w:spacing w:line="360" w:lineRule="auto"/>
        <w:jc w:val="center"/>
        <w:rPr>
          <w:rFonts w:ascii="Times New Roman" w:hAnsi="Times New Roman" w:eastAsia="宋体"/>
        </w:rPr>
      </w:pPr>
      <w:r>
        <w:rPr>
          <w:rFonts w:hint="eastAsia" w:ascii="Times New Roman" w:hAnsi="Times New Roman" w:eastAsia="宋体" w:cs="宋体"/>
          <w:b/>
          <w:sz w:val="24"/>
          <w:szCs w:val="24"/>
          <w:lang w:val="en-US" w:eastAsia="zh-CN"/>
        </w:rPr>
        <w:t>7</w:t>
      </w:r>
      <w:r>
        <w:rPr>
          <w:rFonts w:hint="eastAsia" w:ascii="Times New Roman" w:hAnsi="Times New Roman" w:eastAsia="宋体" w:cs="宋体"/>
          <w:b/>
          <w:sz w:val="24"/>
          <w:szCs w:val="24"/>
        </w:rPr>
        <w:t>、磋商响应报价表</w:t>
      </w:r>
    </w:p>
    <w:p>
      <w:pPr>
        <w:spacing w:line="360" w:lineRule="auto"/>
        <w:ind w:firstLine="241" w:firstLineChars="100"/>
        <w:textAlignment w:val="baseline"/>
        <w:rPr>
          <w:rFonts w:hint="eastAsia" w:ascii="Times New Roman" w:hAnsi="Times New Roman" w:eastAsia="宋体"/>
          <w:b/>
          <w:sz w:val="24"/>
          <w:szCs w:val="24"/>
          <w:lang w:eastAsia="zh-CN"/>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lang w:eastAsia="zh-CN"/>
        </w:rPr>
        <w:t>南通市第三人民医院网络安全改造项目</w:t>
      </w:r>
    </w:p>
    <w:tbl>
      <w:tblPr>
        <w:tblStyle w:val="21"/>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磋商总报价（元）</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hint="eastAsia" w:ascii="Times New Roman" w:hAnsi="Times New Roman" w:eastAsia="宋体"/>
                <w:b/>
                <w:bCs/>
                <w:sz w:val="20"/>
                <w:szCs w:val="21"/>
                <w:lang w:eastAsia="zh-CN"/>
              </w:rPr>
            </w:pPr>
            <w:r>
              <w:rPr>
                <w:rFonts w:hint="eastAsia" w:ascii="Times New Roman" w:hAnsi="Times New Roman" w:eastAsia="宋体"/>
                <w:b/>
                <w:sz w:val="22"/>
                <w:szCs w:val="24"/>
                <w:lang w:eastAsia="zh-CN"/>
              </w:rPr>
              <w:t>南通市第三人民医院网络安全改造项目</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705"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r>
              <w:rPr>
                <w:rFonts w:hint="eastAsia" w:ascii="Times New Roman" w:hAnsi="Times New Roman" w:eastAsia="宋体"/>
                <w:bCs/>
                <w:sz w:val="24"/>
                <w:szCs w:val="24"/>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bl>
    <w:p>
      <w:pPr>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textAlignment w:val="baseline"/>
        <w:rPr>
          <w:rFonts w:ascii="Times New Roman" w:hAnsi="Times New Roman" w:eastAsia="宋体"/>
          <w:sz w:val="20"/>
        </w:rPr>
      </w:pPr>
    </w:p>
    <w:p>
      <w:pPr>
        <w:pStyle w:val="11"/>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pStyle w:val="11"/>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eastAsia="宋体" w:cs="宋体"/>
          <w:b/>
          <w:bCs/>
          <w:sz w:val="24"/>
          <w:szCs w:val="24"/>
        </w:rPr>
      </w:pPr>
    </w:p>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（2）磋商报价的总价中应包含：完成本项目所需的一切费用，</w:t>
      </w:r>
      <w:r>
        <w:rPr>
          <w:rFonts w:hint="eastAsia" w:ascii="宋体" w:hAnsi="宋体" w:eastAsia="宋体"/>
          <w:bCs/>
          <w:sz w:val="24"/>
          <w:szCs w:val="24"/>
          <w:lang w:eastAsia="zh-CN"/>
        </w:rPr>
        <w:t>包含但不限于</w:t>
      </w:r>
      <w:r>
        <w:rPr>
          <w:rFonts w:hint="eastAsia" w:ascii="宋体" w:hAnsi="宋体"/>
          <w:bCs/>
          <w:sz w:val="24"/>
          <w:szCs w:val="24"/>
        </w:rPr>
        <w:t>服务的成本、利润、税金、开办费、政策性调整风险费等的所有费用；人工费、检测费、管理费；国家税务部门规定的各项税金；相关伴随服务以及售后服务等一切费用</w:t>
      </w:r>
      <w:r>
        <w:rPr>
          <w:rFonts w:hint="eastAsia" w:ascii="Times New Roman" w:hAnsi="Times New Roman" w:eastAsia="宋体" w:cs="宋体"/>
          <w:sz w:val="24"/>
          <w:szCs w:val="24"/>
        </w:rPr>
        <w:t>。同时，报价也包含了合同履行过程中可能发生的一切风险。</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14:textFill>
            <w14:solidFill>
              <w14:schemeClr w14:val="tx1"/>
            </w14:solidFill>
          </w14:textFill>
        </w:rPr>
        <w:t>第二次报价将在开标现场填写，响应文件密封提交时只需填写磋商报价总计（首次）。报价明细表总价金额应当与首次报价表金额相等，且第二次报价时，磋商响应报价明细表按同比例下浮。</w:t>
      </w: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widowControl/>
        <w:numPr>
          <w:ilvl w:val="0"/>
          <w:numId w:val="0"/>
        </w:numPr>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lang w:val="en-US" w:eastAsia="zh-CN"/>
        </w:rPr>
        <w:t>8、</w:t>
      </w:r>
      <w:r>
        <w:rPr>
          <w:rFonts w:hint="eastAsia" w:ascii="Times New Roman" w:hAnsi="Times New Roman" w:eastAsia="宋体" w:cs="宋体"/>
          <w:b/>
          <w:sz w:val="24"/>
          <w:szCs w:val="24"/>
        </w:rPr>
        <w:t>磋商响应报价明细表</w:t>
      </w:r>
    </w:p>
    <w:p>
      <w:pPr>
        <w:widowControl/>
        <w:spacing w:line="360" w:lineRule="auto"/>
        <w:jc w:val="left"/>
        <w:rPr>
          <w:rFonts w:ascii="Times New Roman" w:hAnsi="Times New Roman" w:eastAsia="宋体"/>
        </w:rPr>
      </w:pPr>
      <w:r>
        <w:rPr>
          <w:rFonts w:hint="eastAsia" w:ascii="Times New Roman" w:hAnsi="Times New Roman" w:eastAsia="宋体" w:cs="宋体"/>
          <w:sz w:val="24"/>
          <w:szCs w:val="24"/>
        </w:rPr>
        <w:t>项目名称：</w:t>
      </w:r>
      <w:r>
        <w:rPr>
          <w:rFonts w:hint="eastAsia" w:ascii="Times New Roman" w:hAnsi="Times New Roman" w:eastAsia="宋体"/>
          <w:sz w:val="24"/>
          <w:szCs w:val="24"/>
          <w:lang w:eastAsia="zh-CN"/>
        </w:rPr>
        <w:t>南通市第三人民医院网络安全改造项目</w:t>
      </w:r>
    </w:p>
    <w:p>
      <w:pPr>
        <w:widowControl/>
        <w:spacing w:line="360" w:lineRule="auto"/>
        <w:jc w:val="left"/>
        <w:rPr>
          <w:rFonts w:ascii="Times New Roman" w:hAnsi="Times New Roman" w:eastAsia="宋体"/>
        </w:rPr>
      </w:pPr>
    </w:p>
    <w:p>
      <w:pPr>
        <w:widowControl/>
        <w:spacing w:line="360" w:lineRule="auto"/>
        <w:jc w:val="center"/>
        <w:rPr>
          <w:rFonts w:ascii="Times New Roman" w:hAnsi="Times New Roman" w:eastAsia="宋体" w:cs="宋体"/>
          <w:sz w:val="24"/>
          <w:szCs w:val="24"/>
        </w:rPr>
      </w:pPr>
      <w:r>
        <w:rPr>
          <w:rFonts w:hint="eastAsia" w:ascii="Times New Roman" w:hAnsi="Times New Roman" w:eastAsia="宋体" w:cs="宋体"/>
          <w:sz w:val="24"/>
          <w:szCs w:val="24"/>
        </w:rPr>
        <w:t>格式自拟</w:t>
      </w:r>
    </w:p>
    <w:p/>
    <w:p>
      <w:pPr>
        <w:pStyle w:val="9"/>
      </w:pPr>
    </w:p>
    <w:p>
      <w:pPr>
        <w:spacing w:line="360" w:lineRule="auto"/>
        <w:jc w:val="left"/>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pStyle w:val="11"/>
        <w:spacing w:line="360" w:lineRule="auto"/>
        <w:ind w:left="0" w:firstLine="600" w:firstLineChars="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注：1、本项目报价已包括完成本项目所需的一切费用，完成本项目所需的一切费用，</w:t>
      </w:r>
      <w:r>
        <w:rPr>
          <w:rFonts w:hint="eastAsia" w:ascii="宋体" w:hAnsi="宋体" w:eastAsia="宋体"/>
          <w:bCs/>
          <w:sz w:val="24"/>
          <w:szCs w:val="24"/>
          <w:lang w:eastAsia="zh-CN"/>
        </w:rPr>
        <w:t>包含但不限于</w:t>
      </w:r>
      <w:r>
        <w:rPr>
          <w:rFonts w:hint="eastAsia" w:ascii="宋体" w:hAnsi="宋体"/>
          <w:bCs/>
          <w:sz w:val="24"/>
          <w:szCs w:val="24"/>
        </w:rPr>
        <w:t>服务的成本、利润、税金、开办费、政策性调整风险费等的所有费用；人工费、检测费、管理费；国家税务部门规定的各项税金；相关伴随服务以及售后服务等一切费用</w:t>
      </w:r>
      <w:r>
        <w:rPr>
          <w:rFonts w:hint="eastAsia" w:ascii="Times New Roman" w:hAnsi="Times New Roman" w:eastAsia="宋体"/>
          <w:bCs/>
          <w:sz w:val="24"/>
          <w:szCs w:val="24"/>
        </w:rPr>
        <w:t>。同时，报价也包含了合同履行过程中可能发生的一切风险。</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2、报价明细表总价金额应当与首次报价表金额相等，且第二次报价时，磋商响应报价明细表按同比例下浮。</w:t>
      </w:r>
    </w:p>
    <w:p>
      <w:pPr>
        <w:spacing w:line="360" w:lineRule="auto"/>
        <w:rPr>
          <w:rFonts w:ascii="Times New Roman" w:hAnsi="Times New Roman" w:eastAsia="宋体"/>
        </w:rPr>
      </w:pPr>
    </w:p>
    <w:sectPr>
      <w:footerReference r:id="rId3" w:type="default"/>
      <w:pgSz w:w="11906" w:h="16838"/>
      <w:pgMar w:top="1418" w:right="1417" w:bottom="1418" w:left="1417"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7193C"/>
    <w:multiLevelType w:val="singleLevel"/>
    <w:tmpl w:val="4257193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NzRkNjBkNGM1MDZjMGQ3YmZiMTBjOGQ5ZTk0YjAifQ=="/>
  </w:docVars>
  <w:rsids>
    <w:rsidRoot w:val="0042773D"/>
    <w:rsid w:val="00005621"/>
    <w:rsid w:val="000105F3"/>
    <w:rsid w:val="000116CF"/>
    <w:rsid w:val="00011718"/>
    <w:rsid w:val="00030656"/>
    <w:rsid w:val="0004233B"/>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2D8B"/>
    <w:rsid w:val="000F3E59"/>
    <w:rsid w:val="000F42CA"/>
    <w:rsid w:val="00105B86"/>
    <w:rsid w:val="00111B21"/>
    <w:rsid w:val="00150A42"/>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6FC4"/>
    <w:rsid w:val="002375BD"/>
    <w:rsid w:val="00240734"/>
    <w:rsid w:val="0024626E"/>
    <w:rsid w:val="002468A6"/>
    <w:rsid w:val="00255AB3"/>
    <w:rsid w:val="002707F5"/>
    <w:rsid w:val="00271A2C"/>
    <w:rsid w:val="00285BC2"/>
    <w:rsid w:val="00286641"/>
    <w:rsid w:val="002A1341"/>
    <w:rsid w:val="002A415D"/>
    <w:rsid w:val="002A6A48"/>
    <w:rsid w:val="002B6511"/>
    <w:rsid w:val="002B7853"/>
    <w:rsid w:val="002C01E3"/>
    <w:rsid w:val="002E0B7C"/>
    <w:rsid w:val="002E1BA8"/>
    <w:rsid w:val="002E40A5"/>
    <w:rsid w:val="002F64D4"/>
    <w:rsid w:val="002F6EFE"/>
    <w:rsid w:val="002F7C52"/>
    <w:rsid w:val="002F7F56"/>
    <w:rsid w:val="003050C3"/>
    <w:rsid w:val="00307FF6"/>
    <w:rsid w:val="0031562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33AC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22F2"/>
    <w:rsid w:val="005D73C6"/>
    <w:rsid w:val="00603E35"/>
    <w:rsid w:val="00606BF2"/>
    <w:rsid w:val="00633A81"/>
    <w:rsid w:val="00645528"/>
    <w:rsid w:val="006543CA"/>
    <w:rsid w:val="006741C9"/>
    <w:rsid w:val="006822D2"/>
    <w:rsid w:val="006902A0"/>
    <w:rsid w:val="00693857"/>
    <w:rsid w:val="00694D70"/>
    <w:rsid w:val="00695A9F"/>
    <w:rsid w:val="006A5E64"/>
    <w:rsid w:val="006B4338"/>
    <w:rsid w:val="006C59BF"/>
    <w:rsid w:val="006D3A4D"/>
    <w:rsid w:val="006D5C68"/>
    <w:rsid w:val="006D7BE8"/>
    <w:rsid w:val="007172D8"/>
    <w:rsid w:val="00734530"/>
    <w:rsid w:val="00744D06"/>
    <w:rsid w:val="00751266"/>
    <w:rsid w:val="0077451C"/>
    <w:rsid w:val="007755C4"/>
    <w:rsid w:val="00777BDC"/>
    <w:rsid w:val="00785C7E"/>
    <w:rsid w:val="007B5ED6"/>
    <w:rsid w:val="007C0266"/>
    <w:rsid w:val="007C52C4"/>
    <w:rsid w:val="007D447F"/>
    <w:rsid w:val="007D4AD9"/>
    <w:rsid w:val="007D501E"/>
    <w:rsid w:val="007D7533"/>
    <w:rsid w:val="007E4882"/>
    <w:rsid w:val="007F782E"/>
    <w:rsid w:val="0082282D"/>
    <w:rsid w:val="008324DA"/>
    <w:rsid w:val="008369E9"/>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B0414"/>
    <w:rsid w:val="009D17F8"/>
    <w:rsid w:val="009D3858"/>
    <w:rsid w:val="009D3B57"/>
    <w:rsid w:val="009E025D"/>
    <w:rsid w:val="009F3280"/>
    <w:rsid w:val="00A00280"/>
    <w:rsid w:val="00A00693"/>
    <w:rsid w:val="00A25E3A"/>
    <w:rsid w:val="00A46B05"/>
    <w:rsid w:val="00A65118"/>
    <w:rsid w:val="00A75D59"/>
    <w:rsid w:val="00A775B1"/>
    <w:rsid w:val="00AA53A1"/>
    <w:rsid w:val="00AB3858"/>
    <w:rsid w:val="00AB397A"/>
    <w:rsid w:val="00AC0645"/>
    <w:rsid w:val="00AC1356"/>
    <w:rsid w:val="00AC167D"/>
    <w:rsid w:val="00AD0E54"/>
    <w:rsid w:val="00AE32E5"/>
    <w:rsid w:val="00AF67B7"/>
    <w:rsid w:val="00B06015"/>
    <w:rsid w:val="00B1621D"/>
    <w:rsid w:val="00B24F83"/>
    <w:rsid w:val="00B36A38"/>
    <w:rsid w:val="00B50963"/>
    <w:rsid w:val="00B5131F"/>
    <w:rsid w:val="00B523EC"/>
    <w:rsid w:val="00B54D9A"/>
    <w:rsid w:val="00B555BD"/>
    <w:rsid w:val="00B65DE5"/>
    <w:rsid w:val="00B76D85"/>
    <w:rsid w:val="00B97CDB"/>
    <w:rsid w:val="00BA0DE5"/>
    <w:rsid w:val="00BA502C"/>
    <w:rsid w:val="00BB48A3"/>
    <w:rsid w:val="00BC3246"/>
    <w:rsid w:val="00BC6EEB"/>
    <w:rsid w:val="00C02F17"/>
    <w:rsid w:val="00C047C7"/>
    <w:rsid w:val="00C16047"/>
    <w:rsid w:val="00C4189B"/>
    <w:rsid w:val="00C514FC"/>
    <w:rsid w:val="00C74113"/>
    <w:rsid w:val="00C74551"/>
    <w:rsid w:val="00C87961"/>
    <w:rsid w:val="00C96A7A"/>
    <w:rsid w:val="00CA125B"/>
    <w:rsid w:val="00CA3A6E"/>
    <w:rsid w:val="00CB2559"/>
    <w:rsid w:val="00CC7436"/>
    <w:rsid w:val="00CD1E8F"/>
    <w:rsid w:val="00CF0C61"/>
    <w:rsid w:val="00CF19FE"/>
    <w:rsid w:val="00CF4BAE"/>
    <w:rsid w:val="00D1283C"/>
    <w:rsid w:val="00D14736"/>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232372D"/>
    <w:rsid w:val="03A83A42"/>
    <w:rsid w:val="03E379A2"/>
    <w:rsid w:val="04180C5C"/>
    <w:rsid w:val="041E22FB"/>
    <w:rsid w:val="0475016D"/>
    <w:rsid w:val="09FA29F8"/>
    <w:rsid w:val="0A727010"/>
    <w:rsid w:val="0CA72074"/>
    <w:rsid w:val="0E6C4D9F"/>
    <w:rsid w:val="10E548CC"/>
    <w:rsid w:val="10EF15A7"/>
    <w:rsid w:val="115B540E"/>
    <w:rsid w:val="133E3283"/>
    <w:rsid w:val="13712A27"/>
    <w:rsid w:val="14EA7E81"/>
    <w:rsid w:val="155F3D53"/>
    <w:rsid w:val="157C1E87"/>
    <w:rsid w:val="159468C1"/>
    <w:rsid w:val="15C2217E"/>
    <w:rsid w:val="15F6320B"/>
    <w:rsid w:val="17BF578A"/>
    <w:rsid w:val="18117D55"/>
    <w:rsid w:val="18263421"/>
    <w:rsid w:val="197565C6"/>
    <w:rsid w:val="1E163551"/>
    <w:rsid w:val="1EBE2A6B"/>
    <w:rsid w:val="1F8E2FE8"/>
    <w:rsid w:val="1F996FAD"/>
    <w:rsid w:val="203A77C4"/>
    <w:rsid w:val="21B43D41"/>
    <w:rsid w:val="21FB0288"/>
    <w:rsid w:val="224E366C"/>
    <w:rsid w:val="2335285B"/>
    <w:rsid w:val="274D0351"/>
    <w:rsid w:val="27DE22E9"/>
    <w:rsid w:val="29C97C61"/>
    <w:rsid w:val="2B9F25ED"/>
    <w:rsid w:val="2BD6675A"/>
    <w:rsid w:val="2C5A6960"/>
    <w:rsid w:val="2C6E5A4D"/>
    <w:rsid w:val="2CC8252C"/>
    <w:rsid w:val="2CCE28B7"/>
    <w:rsid w:val="2DD824AC"/>
    <w:rsid w:val="2E672C1C"/>
    <w:rsid w:val="2F837332"/>
    <w:rsid w:val="30A401EF"/>
    <w:rsid w:val="322E658F"/>
    <w:rsid w:val="3329796B"/>
    <w:rsid w:val="34700A2F"/>
    <w:rsid w:val="35CB4299"/>
    <w:rsid w:val="36161DCC"/>
    <w:rsid w:val="366867C2"/>
    <w:rsid w:val="3A3E6499"/>
    <w:rsid w:val="3DA05553"/>
    <w:rsid w:val="3DF31169"/>
    <w:rsid w:val="3E246184"/>
    <w:rsid w:val="3EF274D2"/>
    <w:rsid w:val="401C35B7"/>
    <w:rsid w:val="40423602"/>
    <w:rsid w:val="420764B5"/>
    <w:rsid w:val="42672AE3"/>
    <w:rsid w:val="440A15A0"/>
    <w:rsid w:val="448734FB"/>
    <w:rsid w:val="4561465A"/>
    <w:rsid w:val="4765404F"/>
    <w:rsid w:val="47693BAF"/>
    <w:rsid w:val="48FE0BAD"/>
    <w:rsid w:val="49727F94"/>
    <w:rsid w:val="49DC3654"/>
    <w:rsid w:val="4A575CCD"/>
    <w:rsid w:val="4B840262"/>
    <w:rsid w:val="4EB01C0C"/>
    <w:rsid w:val="53A23A14"/>
    <w:rsid w:val="542A6B2C"/>
    <w:rsid w:val="544F229E"/>
    <w:rsid w:val="55385BD7"/>
    <w:rsid w:val="56E5418D"/>
    <w:rsid w:val="5A4C01FF"/>
    <w:rsid w:val="5A91106B"/>
    <w:rsid w:val="5BD91F04"/>
    <w:rsid w:val="5C855626"/>
    <w:rsid w:val="60480F23"/>
    <w:rsid w:val="633D4A8B"/>
    <w:rsid w:val="64191A38"/>
    <w:rsid w:val="64A62BA0"/>
    <w:rsid w:val="64ED5461"/>
    <w:rsid w:val="64FB113D"/>
    <w:rsid w:val="658F2EA6"/>
    <w:rsid w:val="659772A6"/>
    <w:rsid w:val="6742329A"/>
    <w:rsid w:val="675F7512"/>
    <w:rsid w:val="68A84122"/>
    <w:rsid w:val="68AD6BF3"/>
    <w:rsid w:val="68D34C3C"/>
    <w:rsid w:val="696E2E35"/>
    <w:rsid w:val="6A721EA2"/>
    <w:rsid w:val="6C1132E7"/>
    <w:rsid w:val="6D3F754A"/>
    <w:rsid w:val="6D600F61"/>
    <w:rsid w:val="6E9616EC"/>
    <w:rsid w:val="700D0A38"/>
    <w:rsid w:val="707A560C"/>
    <w:rsid w:val="70C10EFD"/>
    <w:rsid w:val="712D5BF6"/>
    <w:rsid w:val="71AD12AD"/>
    <w:rsid w:val="71EA5EF0"/>
    <w:rsid w:val="72BF1288"/>
    <w:rsid w:val="73392B0C"/>
    <w:rsid w:val="762F76F3"/>
    <w:rsid w:val="76B22FC1"/>
    <w:rsid w:val="798C7570"/>
    <w:rsid w:val="7B2C3E2B"/>
    <w:rsid w:val="7B85422E"/>
    <w:rsid w:val="7C1A2204"/>
    <w:rsid w:val="7C462374"/>
    <w:rsid w:val="7C862A0C"/>
    <w:rsid w:val="7D5A2578"/>
    <w:rsid w:val="7E633C7C"/>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4">
    <w:name w:val="heading 2"/>
    <w:basedOn w:val="1"/>
    <w:next w:val="1"/>
    <w:link w:val="33"/>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paragraph" w:styleId="5">
    <w:name w:val="heading 4"/>
    <w:basedOn w:val="1"/>
    <w:next w:val="1"/>
    <w:semiHidden/>
    <w:qFormat/>
    <w:uiPriority w:val="9"/>
    <w:pPr>
      <w:keepNext/>
      <w:keepLines/>
      <w:spacing w:before="280" w:after="290" w:line="372"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eastAsia="宋体" w:cs="Times New Roman"/>
      <w:sz w:val="24"/>
      <w:szCs w:val="21"/>
    </w:rPr>
  </w:style>
  <w:style w:type="paragraph" w:styleId="6">
    <w:name w:val="Normal Indent"/>
    <w:basedOn w:val="1"/>
    <w:link w:val="31"/>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7">
    <w:name w:val="Document Map"/>
    <w:basedOn w:val="1"/>
    <w:link w:val="34"/>
    <w:semiHidden/>
    <w:unhideWhenUsed/>
    <w:qFormat/>
    <w:uiPriority w:val="99"/>
    <w:rPr>
      <w:rFonts w:ascii="宋体" w:eastAsia="宋体"/>
      <w:sz w:val="18"/>
      <w:szCs w:val="18"/>
    </w:rPr>
  </w:style>
  <w:style w:type="paragraph" w:styleId="8">
    <w:name w:val="annotation text"/>
    <w:basedOn w:val="1"/>
    <w:link w:val="37"/>
    <w:semiHidden/>
    <w:unhideWhenUsed/>
    <w:qFormat/>
    <w:uiPriority w:val="99"/>
    <w:pPr>
      <w:jc w:val="left"/>
    </w:pPr>
  </w:style>
  <w:style w:type="paragraph" w:styleId="9">
    <w:name w:val="Body Text"/>
    <w:basedOn w:val="1"/>
    <w:next w:val="1"/>
    <w:qFormat/>
    <w:uiPriority w:val="0"/>
    <w:rPr>
      <w:rFonts w:ascii="楷体_GB2312" w:hAnsi="Arial" w:eastAsia="楷体_GB2312"/>
      <w:sz w:val="28"/>
      <w:szCs w:val="28"/>
    </w:rPr>
  </w:style>
  <w:style w:type="paragraph" w:styleId="10">
    <w:name w:val="Body Text Indent"/>
    <w:basedOn w:val="1"/>
    <w:semiHidden/>
    <w:unhideWhenUsed/>
    <w:qFormat/>
    <w:uiPriority w:val="99"/>
    <w:pPr>
      <w:spacing w:after="120"/>
      <w:ind w:left="420" w:leftChars="200"/>
    </w:pPr>
  </w:style>
  <w:style w:type="paragraph" w:styleId="11">
    <w:name w:val="index 4"/>
    <w:basedOn w:val="1"/>
    <w:next w:val="1"/>
    <w:qFormat/>
    <w:uiPriority w:val="0"/>
    <w:pPr>
      <w:ind w:left="1260"/>
    </w:pPr>
    <w:rPr>
      <w:rFonts w:ascii="Calibri" w:hAnsi="Calibri" w:eastAsia="宋体" w:cs="Times New Roman"/>
      <w:szCs w:val="20"/>
    </w:rPr>
  </w:style>
  <w:style w:type="paragraph" w:styleId="12">
    <w:name w:val="toc 3"/>
    <w:basedOn w:val="1"/>
    <w:next w:val="1"/>
    <w:qFormat/>
    <w:uiPriority w:val="0"/>
    <w:pPr>
      <w:ind w:left="840" w:leftChars="400"/>
    </w:pPr>
    <w:rPr>
      <w:rFonts w:ascii="Calibri" w:hAnsi="Calibri" w:eastAsia="宋体" w:cs="Times New Roman"/>
      <w:szCs w:val="20"/>
    </w:rPr>
  </w:style>
  <w:style w:type="paragraph" w:styleId="13">
    <w:name w:val="Plain Text"/>
    <w:basedOn w:val="1"/>
    <w:link w:val="43"/>
    <w:qFormat/>
    <w:uiPriority w:val="99"/>
    <w:rPr>
      <w:rFonts w:ascii="宋体" w:hAnsi="Courier New" w:eastAsia="宋体" w:cs="Times New Roman"/>
      <w:szCs w:val="20"/>
    </w:rPr>
  </w:style>
  <w:style w:type="paragraph" w:styleId="14">
    <w:name w:val="Balloon Text"/>
    <w:basedOn w:val="1"/>
    <w:link w:val="36"/>
    <w:semiHidden/>
    <w:unhideWhenUsed/>
    <w:qFormat/>
    <w:uiPriority w:val="99"/>
    <w:rPr>
      <w:sz w:val="18"/>
      <w:szCs w:val="18"/>
    </w:r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adjustRightInd w:val="0"/>
      <w:jc w:val="left"/>
      <w:textAlignment w:val="baseline"/>
    </w:pPr>
    <w:rPr>
      <w:rFonts w:ascii="Calibri" w:hAnsi="Calibri" w:eastAsia="楷体_GB2312" w:cs="Times New Roman"/>
      <w:sz w:val="24"/>
      <w:szCs w:val="20"/>
    </w:rPr>
  </w:style>
  <w:style w:type="paragraph" w:styleId="18">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19">
    <w:name w:val="annotation subject"/>
    <w:basedOn w:val="8"/>
    <w:next w:val="8"/>
    <w:link w:val="38"/>
    <w:semiHidden/>
    <w:unhideWhenUsed/>
    <w:qFormat/>
    <w:uiPriority w:val="99"/>
    <w:rPr>
      <w:b/>
      <w:bCs/>
    </w:rPr>
  </w:style>
  <w:style w:type="paragraph" w:styleId="20">
    <w:name w:val="Body Text First Indent 2"/>
    <w:basedOn w:val="10"/>
    <w:unhideWhenUsed/>
    <w:qFormat/>
    <w:uiPriority w:val="99"/>
    <w:pPr>
      <w:ind w:firstLine="420" w:firstLineChars="200"/>
    </w:p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paragraph" w:customStyle="1" w:styleId="26">
    <w:name w:val="正文首行缩进 21"/>
    <w:basedOn w:val="27"/>
    <w:next w:val="1"/>
    <w:unhideWhenUsed/>
    <w:qFormat/>
    <w:uiPriority w:val="0"/>
    <w:pPr>
      <w:ind w:firstLine="420"/>
    </w:pPr>
    <w:rPr>
      <w:lang w:val="en-US" w:eastAsia="en-US"/>
    </w:rPr>
  </w:style>
  <w:style w:type="paragraph" w:customStyle="1" w:styleId="27">
    <w:name w:val="正文文本缩进1"/>
    <w:basedOn w:val="1"/>
    <w:next w:val="28"/>
    <w:unhideWhenUsed/>
    <w:qFormat/>
    <w:uiPriority w:val="0"/>
    <w:pPr>
      <w:spacing w:after="120"/>
      <w:ind w:left="420"/>
    </w:pPr>
    <w:rPr>
      <w:rFonts w:ascii="Times New Roman" w:hAnsi="Times New Roman"/>
      <w:lang w:val="en-US" w:eastAsia="en-US"/>
    </w:rPr>
  </w:style>
  <w:style w:type="paragraph" w:customStyle="1" w:styleId="28">
    <w:name w:val="寄信人地址1"/>
    <w:basedOn w:val="1"/>
    <w:unhideWhenUsed/>
    <w:qFormat/>
    <w:uiPriority w:val="99"/>
    <w:rPr>
      <w:rFonts w:ascii="Arial" w:hAnsi="Arial" w:eastAsia="楷体_GB2312" w:cs="Times New Roman"/>
      <w:sz w:val="26"/>
      <w:szCs w:val="20"/>
    </w:rPr>
  </w:style>
  <w:style w:type="character" w:customStyle="1" w:styleId="29">
    <w:name w:val="页眉 Char"/>
    <w:basedOn w:val="23"/>
    <w:link w:val="16"/>
    <w:qFormat/>
    <w:uiPriority w:val="99"/>
    <w:rPr>
      <w:sz w:val="18"/>
      <w:szCs w:val="18"/>
    </w:rPr>
  </w:style>
  <w:style w:type="character" w:customStyle="1" w:styleId="30">
    <w:name w:val="页脚 Char"/>
    <w:basedOn w:val="23"/>
    <w:link w:val="15"/>
    <w:qFormat/>
    <w:uiPriority w:val="99"/>
    <w:rPr>
      <w:sz w:val="18"/>
      <w:szCs w:val="18"/>
    </w:rPr>
  </w:style>
  <w:style w:type="character" w:customStyle="1" w:styleId="31">
    <w:name w:val="正文缩进 Char"/>
    <w:link w:val="6"/>
    <w:qFormat/>
    <w:uiPriority w:val="0"/>
    <w:rPr>
      <w:rFonts w:ascii="Calibri" w:hAnsi="Calibri" w:eastAsia="楷体_GB2312" w:cs="Times New Roman"/>
      <w:kern w:val="0"/>
      <w:sz w:val="24"/>
      <w:szCs w:val="20"/>
    </w:rPr>
  </w:style>
  <w:style w:type="character" w:customStyle="1" w:styleId="32">
    <w:name w:val="标题 1 Char"/>
    <w:basedOn w:val="23"/>
    <w:link w:val="3"/>
    <w:qFormat/>
    <w:uiPriority w:val="0"/>
    <w:rPr>
      <w:rFonts w:ascii="Calibri" w:hAnsi="Calibri" w:eastAsia="楷体_GB2312" w:cs="Times New Roman"/>
      <w:b/>
      <w:kern w:val="44"/>
      <w:sz w:val="44"/>
      <w:szCs w:val="20"/>
    </w:rPr>
  </w:style>
  <w:style w:type="character" w:customStyle="1" w:styleId="33">
    <w:name w:val="标题 2 Char"/>
    <w:basedOn w:val="23"/>
    <w:link w:val="4"/>
    <w:qFormat/>
    <w:uiPriority w:val="9"/>
    <w:rPr>
      <w:rFonts w:asciiTheme="majorHAnsi" w:hAnsiTheme="majorHAnsi" w:eastAsiaTheme="majorEastAsia" w:cstheme="majorBidi"/>
      <w:b/>
      <w:bCs/>
      <w:sz w:val="32"/>
      <w:szCs w:val="32"/>
    </w:rPr>
  </w:style>
  <w:style w:type="character" w:customStyle="1" w:styleId="34">
    <w:name w:val="文档结构图 Char"/>
    <w:basedOn w:val="23"/>
    <w:link w:val="7"/>
    <w:semiHidden/>
    <w:qFormat/>
    <w:uiPriority w:val="99"/>
    <w:rPr>
      <w:rFonts w:ascii="宋体" w:eastAsia="宋体"/>
      <w:sz w:val="18"/>
      <w:szCs w:val="18"/>
    </w:rPr>
  </w:style>
  <w:style w:type="character" w:customStyle="1" w:styleId="35">
    <w:name w:val="NormalCharacter"/>
    <w:qFormat/>
    <w:uiPriority w:val="0"/>
    <w:rPr>
      <w:rFonts w:ascii="Times New Roman" w:hAnsi="Times New Roman" w:eastAsia="宋体" w:cs="Times New Roman"/>
    </w:rPr>
  </w:style>
  <w:style w:type="character" w:customStyle="1" w:styleId="36">
    <w:name w:val="批注框文本 Char"/>
    <w:basedOn w:val="23"/>
    <w:link w:val="14"/>
    <w:semiHidden/>
    <w:qFormat/>
    <w:uiPriority w:val="99"/>
    <w:rPr>
      <w:kern w:val="2"/>
      <w:sz w:val="18"/>
      <w:szCs w:val="18"/>
    </w:rPr>
  </w:style>
  <w:style w:type="character" w:customStyle="1" w:styleId="37">
    <w:name w:val="批注文字 Char"/>
    <w:basedOn w:val="23"/>
    <w:link w:val="8"/>
    <w:semiHidden/>
    <w:qFormat/>
    <w:uiPriority w:val="99"/>
    <w:rPr>
      <w:kern w:val="2"/>
      <w:sz w:val="21"/>
      <w:szCs w:val="22"/>
    </w:rPr>
  </w:style>
  <w:style w:type="character" w:customStyle="1" w:styleId="38">
    <w:name w:val="批注主题 Char"/>
    <w:basedOn w:val="37"/>
    <w:link w:val="19"/>
    <w:semiHidden/>
    <w:qFormat/>
    <w:uiPriority w:val="99"/>
    <w:rPr>
      <w:b/>
      <w:bCs/>
      <w:kern w:val="2"/>
      <w:sz w:val="21"/>
      <w:szCs w:val="22"/>
    </w:rPr>
  </w:style>
  <w:style w:type="character" w:customStyle="1" w:styleId="39">
    <w:name w:val="普通正文 Char"/>
    <w:link w:val="40"/>
    <w:qFormat/>
    <w:uiPriority w:val="0"/>
    <w:rPr>
      <w:rFonts w:ascii="Arial" w:hAnsi="Arial"/>
      <w:sz w:val="24"/>
      <w:szCs w:val="24"/>
    </w:rPr>
  </w:style>
  <w:style w:type="paragraph" w:customStyle="1" w:styleId="40">
    <w:name w:val="普通正文"/>
    <w:basedOn w:val="1"/>
    <w:link w:val="39"/>
    <w:qFormat/>
    <w:uiPriority w:val="99"/>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41">
    <w:name w:val="Normal_6"/>
    <w:qFormat/>
    <w:uiPriority w:val="0"/>
    <w:rPr>
      <w:rFonts w:ascii="Times New Roman" w:hAnsi="Times New Roman" w:eastAsia="Times New Roman" w:cs="Times New Roman"/>
      <w:sz w:val="24"/>
      <w:szCs w:val="24"/>
      <w:lang w:val="en-US" w:eastAsia="zh-CN" w:bidi="ar-SA"/>
    </w:rPr>
  </w:style>
  <w:style w:type="paragraph" w:customStyle="1" w:styleId="42">
    <w:name w:val="Normal_5"/>
    <w:qFormat/>
    <w:uiPriority w:val="0"/>
    <w:rPr>
      <w:rFonts w:ascii="Times New Roman" w:hAnsi="Times New Roman" w:eastAsia="Times New Roman" w:cs="Times New Roman"/>
      <w:sz w:val="24"/>
      <w:szCs w:val="24"/>
      <w:lang w:val="en-US" w:eastAsia="zh-CN" w:bidi="ar-SA"/>
    </w:rPr>
  </w:style>
  <w:style w:type="character" w:customStyle="1" w:styleId="43">
    <w:name w:val="纯文本 Char"/>
    <w:basedOn w:val="23"/>
    <w:link w:val="13"/>
    <w:qFormat/>
    <w:locked/>
    <w:uiPriority w:val="0"/>
    <w:rPr>
      <w:rFonts w:ascii="宋体" w:hAnsi="Courier New" w:eastAsia="宋体" w:cs="Times New Roman"/>
      <w:kern w:val="2"/>
      <w:sz w:val="21"/>
    </w:rPr>
  </w:style>
  <w:style w:type="paragraph" w:styleId="44">
    <w:name w:val="List Paragraph"/>
    <w:basedOn w:val="1"/>
    <w:qFormat/>
    <w:uiPriority w:val="34"/>
    <w:pPr>
      <w:ind w:firstLine="420" w:firstLineChars="200"/>
    </w:pPr>
    <w:rPr>
      <w:rFonts w:ascii="Times New Roman" w:hAnsi="Times New Roman" w:eastAsia="宋体" w:cs="Times New Roman"/>
      <w:szCs w:val="21"/>
    </w:rPr>
  </w:style>
  <w:style w:type="paragraph" w:customStyle="1" w:styleId="45">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46">
    <w:name w:val="列出段落2"/>
    <w:basedOn w:val="1"/>
    <w:qFormat/>
    <w:uiPriority w:val="99"/>
    <w:pPr>
      <w:ind w:firstLine="420" w:firstLineChars="200"/>
    </w:pPr>
    <w:rPr>
      <w:rFonts w:ascii="Times New Roman" w:hAnsi="Times New Roman"/>
      <w:szCs w:val="24"/>
    </w:rPr>
  </w:style>
  <w:style w:type="character" w:customStyle="1" w:styleId="47">
    <w:name w:val="样式 小四 加粗"/>
    <w:basedOn w:val="23"/>
    <w:qFormat/>
    <w:uiPriority w:val="0"/>
    <w:rPr>
      <w:rFonts w:eastAsia="黑体"/>
      <w:b/>
      <w:bCs/>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DD749-82EB-4CF5-A9C1-4770C2D469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15209</Words>
  <Characters>15586</Characters>
  <Lines>120</Lines>
  <Paragraphs>33</Paragraphs>
  <TotalTime>12</TotalTime>
  <ScaleCrop>false</ScaleCrop>
  <LinksUpToDate>false</LinksUpToDate>
  <CharactersWithSpaces>15693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2023-06-15T08:52:00Z</dcterms:created>
  <dc:creator>Administrator</dc:creator>
  <cp:lastModifiedBy>小白</cp:lastModifiedBy>
  <dcterms:modified xsi:type="dcterms:W3CDTF">2023-11-06T07:11:05Z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CD285F46BD42480C817325D4098E50EA_13</vt:lpwstr>
  </property>
</Properties>
</file>