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91" w:rsidRDefault="001B5EE1">
      <w:pPr>
        <w:jc w:val="center"/>
        <w:rPr>
          <w:b/>
          <w:bCs/>
          <w:sz w:val="24"/>
        </w:rPr>
      </w:pPr>
      <w:r>
        <w:rPr>
          <w:rFonts w:hint="eastAsia"/>
          <w:b/>
          <w:bCs/>
          <w:sz w:val="24"/>
        </w:rPr>
        <w:t>南通市第三人民医院“</w:t>
      </w:r>
      <w:r w:rsidRPr="001B5EE1">
        <w:rPr>
          <w:rFonts w:hint="eastAsia"/>
          <w:b/>
          <w:bCs/>
          <w:sz w:val="24"/>
        </w:rPr>
        <w:t>多学科会诊平台</w:t>
      </w:r>
      <w:r>
        <w:rPr>
          <w:rFonts w:hint="eastAsia"/>
          <w:b/>
          <w:bCs/>
          <w:sz w:val="24"/>
        </w:rPr>
        <w:t>”系统</w:t>
      </w:r>
      <w:r w:rsidR="0014082B">
        <w:rPr>
          <w:rFonts w:hint="eastAsia"/>
          <w:b/>
          <w:bCs/>
          <w:sz w:val="24"/>
        </w:rPr>
        <w:t>技术了解</w:t>
      </w:r>
      <w:r>
        <w:rPr>
          <w:rFonts w:hint="eastAsia"/>
          <w:b/>
          <w:bCs/>
          <w:sz w:val="24"/>
        </w:rPr>
        <w:t>要求</w:t>
      </w:r>
    </w:p>
    <w:p w:rsidR="0020405D" w:rsidRDefault="0020405D">
      <w:pPr>
        <w:rPr>
          <w:b/>
          <w:bCs/>
          <w:sz w:val="24"/>
        </w:rPr>
      </w:pPr>
    </w:p>
    <w:p w:rsidR="00B67491" w:rsidRDefault="001B5EE1">
      <w:pPr>
        <w:rPr>
          <w:b/>
          <w:bCs/>
          <w:sz w:val="24"/>
        </w:rPr>
      </w:pPr>
      <w:r>
        <w:rPr>
          <w:rFonts w:hint="eastAsia"/>
          <w:b/>
          <w:bCs/>
          <w:sz w:val="24"/>
        </w:rPr>
        <w:t>一、项目概述</w:t>
      </w:r>
    </w:p>
    <w:p w:rsidR="00B67491" w:rsidRDefault="001B5EE1">
      <w:pPr>
        <w:pStyle w:val="2"/>
        <w:spacing w:line="360" w:lineRule="auto"/>
        <w:ind w:leftChars="0" w:left="0" w:firstLineChars="0"/>
        <w:rPr>
          <w:rFonts w:ascii="Calibri" w:eastAsia="宋体" w:hAnsi="Calibri"/>
          <w:color w:val="auto"/>
          <w:szCs w:val="24"/>
        </w:rPr>
      </w:pPr>
      <w:r>
        <w:rPr>
          <w:rFonts w:ascii="Calibri" w:eastAsia="宋体" w:hAnsi="Calibri" w:hint="eastAsia"/>
          <w:color w:val="auto"/>
          <w:szCs w:val="24"/>
        </w:rPr>
        <w:t>为响应国家互联网</w:t>
      </w:r>
      <w:r>
        <w:rPr>
          <w:rFonts w:ascii="Calibri" w:eastAsia="宋体" w:hAnsi="Calibri" w:hint="eastAsia"/>
          <w:color w:val="auto"/>
          <w:szCs w:val="24"/>
        </w:rPr>
        <w:t>+</w:t>
      </w:r>
      <w:r>
        <w:rPr>
          <w:rFonts w:ascii="Calibri" w:eastAsia="宋体" w:hAnsi="Calibri" w:hint="eastAsia"/>
          <w:color w:val="auto"/>
          <w:szCs w:val="24"/>
        </w:rPr>
        <w:t>医疗的建设指导要求，充分利用移动互联网技术带来的技术红利，我院将通过本项目的建设发挥智能手机在现代医院信息化中的作用，即通过院内业务移动化，支持随时随地访问院内信息并处理工作，通过社交协作等互联网技术支持更高的工作效率，并在此基础上支持创新的业务应用。本次项目统筹规划和建设统一的适合南通市第三人民医院实际业务需求的医疗协作平台，在此基础上开展多种形式的会诊业务。</w:t>
      </w:r>
    </w:p>
    <w:p w:rsidR="00B67491" w:rsidRDefault="001B5EE1">
      <w:pPr>
        <w:pStyle w:val="2"/>
        <w:spacing w:line="360" w:lineRule="auto"/>
        <w:ind w:leftChars="0" w:left="0"/>
        <w:rPr>
          <w:rFonts w:ascii="Calibri" w:eastAsia="宋体" w:hAnsi="Calibri"/>
          <w:color w:val="auto"/>
          <w:szCs w:val="24"/>
        </w:rPr>
      </w:pPr>
      <w:r>
        <w:rPr>
          <w:rFonts w:ascii="Calibri" w:eastAsia="宋体" w:hAnsi="Calibri" w:hint="eastAsia"/>
          <w:color w:val="auto"/>
          <w:szCs w:val="24"/>
        </w:rPr>
        <w:t>本项目除了支持院内普通会诊、急会诊、全院会诊及多学科会诊外，也需要支持医联体上下级的院间协作，从专家池及会议室管理、患者资料收集补充、会议组织、专家诊疗意见决策、打印、存档、患者的诊后随访、方案执行跟踪和效果评估、</w:t>
      </w:r>
      <w:r>
        <w:rPr>
          <w:rFonts w:ascii="Calibri" w:eastAsia="宋体" w:hAnsi="Calibri" w:hint="eastAsia"/>
          <w:color w:val="auto"/>
          <w:szCs w:val="24"/>
        </w:rPr>
        <w:t>MDT</w:t>
      </w:r>
      <w:r>
        <w:rPr>
          <w:rFonts w:ascii="Calibri" w:eastAsia="宋体" w:hAnsi="Calibri" w:hint="eastAsia"/>
          <w:color w:val="auto"/>
          <w:szCs w:val="24"/>
        </w:rPr>
        <w:t>绩效考核等形成完整闭环，并通过数据支持我院持续改进协作流程和质量。以信息化手段承载了</w:t>
      </w:r>
      <w:r>
        <w:rPr>
          <w:rFonts w:ascii="Calibri" w:eastAsia="宋体" w:hAnsi="Calibri" w:hint="eastAsia"/>
          <w:color w:val="auto"/>
          <w:szCs w:val="24"/>
        </w:rPr>
        <w:t>MDT</w:t>
      </w:r>
      <w:r>
        <w:rPr>
          <w:rFonts w:ascii="Calibri" w:eastAsia="宋体" w:hAnsi="Calibri" w:hint="eastAsia"/>
          <w:color w:val="auto"/>
          <w:szCs w:val="24"/>
        </w:rPr>
        <w:t>诊前、诊中、诊后的各项活动，使之更好地服务于患者的同时也便于院内管理监督，并为医改新形势下利用互联网手段提升远程医疗及双向转诊效率提供基础，促进医疗协作平台成为智慧医疗的重要组成部分。</w:t>
      </w:r>
    </w:p>
    <w:p w:rsidR="00B67491" w:rsidRDefault="001B5EE1">
      <w:pPr>
        <w:pStyle w:val="2"/>
        <w:spacing w:line="360" w:lineRule="auto"/>
        <w:ind w:leftChars="0" w:left="0" w:firstLineChars="0" w:firstLine="0"/>
      </w:pPr>
      <w:r>
        <w:rPr>
          <w:rFonts w:ascii="Calibri" w:eastAsia="宋体" w:hAnsi="Calibri" w:hint="eastAsia"/>
          <w:b/>
          <w:bCs/>
          <w:color w:val="auto"/>
          <w:sz w:val="24"/>
          <w:szCs w:val="24"/>
        </w:rPr>
        <w:t>二、技术要求</w:t>
      </w:r>
    </w:p>
    <w:p w:rsidR="00B67491" w:rsidRDefault="001B5EE1">
      <w:pPr>
        <w:pStyle w:val="2"/>
        <w:numPr>
          <w:ilvl w:val="0"/>
          <w:numId w:val="1"/>
        </w:numPr>
        <w:spacing w:line="360" w:lineRule="auto"/>
        <w:ind w:leftChars="0" w:left="0" w:firstLineChars="0" w:firstLine="0"/>
        <w:rPr>
          <w:rFonts w:ascii="宋体" w:eastAsia="宋体" w:hAnsi="宋体" w:cs="宋体"/>
          <w:color w:val="auto"/>
          <w:szCs w:val="21"/>
        </w:rPr>
      </w:pPr>
      <w:r>
        <w:rPr>
          <w:rFonts w:ascii="宋体" w:eastAsia="宋体" w:hAnsi="宋体" w:cs="宋体" w:hint="eastAsia"/>
          <w:b/>
          <w:bCs/>
          <w:color w:val="000000"/>
          <w:kern w:val="0"/>
          <w:szCs w:val="21"/>
          <w:lang w:bidi="ar"/>
        </w:rPr>
        <w:t>医疗协作平台</w:t>
      </w:r>
      <w:r>
        <w:rPr>
          <w:rFonts w:ascii="宋体" w:eastAsia="宋体" w:hAnsi="宋体" w:cs="宋体" w:hint="eastAsia"/>
          <w:color w:val="auto"/>
          <w:szCs w:val="21"/>
        </w:rPr>
        <w:t>：支持普通会诊、急会诊、全院会诊</w:t>
      </w:r>
    </w:p>
    <w:p w:rsidR="00B67491" w:rsidRDefault="001B5EE1">
      <w:pPr>
        <w:pStyle w:val="2"/>
        <w:numPr>
          <w:ilvl w:val="0"/>
          <w:numId w:val="2"/>
        </w:numPr>
        <w:spacing w:line="360" w:lineRule="auto"/>
        <w:ind w:leftChars="0" w:firstLineChars="0"/>
        <w:rPr>
          <w:rFonts w:ascii="宋体" w:eastAsia="宋体" w:hAnsi="宋体" w:cs="宋体"/>
          <w:color w:val="auto"/>
          <w:szCs w:val="21"/>
        </w:rPr>
      </w:pPr>
      <w:r>
        <w:rPr>
          <w:rFonts w:ascii="宋体" w:eastAsia="宋体" w:hAnsi="宋体" w:cs="宋体" w:hint="eastAsia"/>
          <w:color w:val="auto"/>
          <w:szCs w:val="21"/>
        </w:rPr>
        <w:t>普通会诊：</w:t>
      </w:r>
      <w:r>
        <w:rPr>
          <w:rFonts w:ascii="宋体" w:eastAsia="宋体" w:hAnsi="宋体" w:cs="宋体" w:hint="eastAsia"/>
          <w:color w:val="000000"/>
          <w:kern w:val="0"/>
          <w:szCs w:val="21"/>
          <w:lang w:bidi="ar"/>
        </w:rPr>
        <w:t>基于患者移动360视图的群组线上沟通；</w:t>
      </w:r>
    </w:p>
    <w:p w:rsidR="00B67491" w:rsidRDefault="001B5EE1">
      <w:pPr>
        <w:pStyle w:val="2"/>
        <w:numPr>
          <w:ilvl w:val="0"/>
          <w:numId w:val="2"/>
        </w:numPr>
        <w:spacing w:line="360" w:lineRule="auto"/>
        <w:ind w:leftChars="0" w:firstLineChars="0"/>
        <w:rPr>
          <w:rFonts w:ascii="宋体" w:eastAsia="宋体" w:hAnsi="宋体" w:cs="宋体"/>
          <w:color w:val="auto"/>
          <w:szCs w:val="21"/>
        </w:rPr>
      </w:pPr>
      <w:r>
        <w:rPr>
          <w:rFonts w:ascii="宋体" w:eastAsia="宋体" w:hAnsi="宋体" w:cs="宋体" w:hint="eastAsia"/>
          <w:color w:val="000000"/>
          <w:kern w:val="0"/>
          <w:szCs w:val="21"/>
          <w:lang w:bidi="ar"/>
        </w:rPr>
        <w:t>急会诊：到达地点扫码，落实“十分钟”到场制度；</w:t>
      </w:r>
    </w:p>
    <w:p w:rsidR="00B67491" w:rsidRDefault="001B5EE1">
      <w:pPr>
        <w:pStyle w:val="2"/>
        <w:numPr>
          <w:ilvl w:val="0"/>
          <w:numId w:val="2"/>
        </w:numPr>
        <w:spacing w:line="360" w:lineRule="auto"/>
        <w:ind w:leftChars="0" w:firstLineChars="0"/>
        <w:rPr>
          <w:rFonts w:ascii="宋体" w:eastAsia="宋体" w:hAnsi="宋体" w:cs="宋体"/>
          <w:color w:val="auto"/>
          <w:szCs w:val="21"/>
        </w:rPr>
      </w:pPr>
      <w:r>
        <w:rPr>
          <w:rFonts w:ascii="宋体" w:eastAsia="宋体" w:hAnsi="宋体" w:cs="宋体" w:hint="eastAsia"/>
          <w:color w:val="000000"/>
          <w:kern w:val="0"/>
          <w:szCs w:val="21"/>
          <w:lang w:bidi="ar"/>
        </w:rPr>
        <w:t>全院级会诊</w:t>
      </w:r>
      <w:r>
        <w:rPr>
          <w:rFonts w:ascii="宋体" w:eastAsia="宋体" w:hAnsi="宋体" w:cs="宋体" w:hint="eastAsia"/>
          <w:color w:val="auto"/>
          <w:szCs w:val="21"/>
        </w:rPr>
        <w:t>：</w:t>
      </w:r>
    </w:p>
    <w:p w:rsidR="00B67491" w:rsidRDefault="001B5EE1">
      <w:pPr>
        <w:pStyle w:val="2"/>
        <w:numPr>
          <w:ilvl w:val="0"/>
          <w:numId w:val="3"/>
        </w:numPr>
        <w:spacing w:line="360" w:lineRule="auto"/>
        <w:ind w:leftChars="0" w:left="313"/>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会诊申请编写提交：会诊单的填写，支持会诊类型/会诊组的选择，科室/专家的选择指定，病例基础信息/就诊号/病情病史/会诊目的/会诊时间/申请人等的填写；</w:t>
      </w:r>
    </w:p>
    <w:p w:rsidR="00B67491" w:rsidRDefault="001B5EE1">
      <w:pPr>
        <w:pStyle w:val="2"/>
        <w:numPr>
          <w:ilvl w:val="0"/>
          <w:numId w:val="3"/>
        </w:numPr>
        <w:spacing w:line="360" w:lineRule="auto"/>
        <w:ind w:leftChars="0" w:left="313"/>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病例信息关联：患者的360视图关联，根据患者身份证等信息调阅患者院内既往病史关联到患者资料，填充会诊申请内容；</w:t>
      </w:r>
    </w:p>
    <w:p w:rsidR="00B67491" w:rsidRDefault="001B5EE1">
      <w:pPr>
        <w:pStyle w:val="2"/>
        <w:numPr>
          <w:ilvl w:val="0"/>
          <w:numId w:val="3"/>
        </w:numPr>
        <w:spacing w:line="360" w:lineRule="auto"/>
        <w:ind w:leftChars="0" w:left="313"/>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审批消息提醒：病例会诊申请提交后，自动发出短信、APP提醒等提醒相关人员处理审批；</w:t>
      </w:r>
    </w:p>
    <w:p w:rsidR="00B67491" w:rsidRDefault="001B5EE1">
      <w:pPr>
        <w:pStyle w:val="2"/>
        <w:numPr>
          <w:ilvl w:val="0"/>
          <w:numId w:val="3"/>
        </w:numPr>
        <w:spacing w:line="360" w:lineRule="auto"/>
        <w:ind w:leftChars="0" w:left="313"/>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会诊审批：在需要审批的场景下，科室主任、医务科等角色审批会诊申请；</w:t>
      </w:r>
    </w:p>
    <w:p w:rsidR="00B67491" w:rsidRDefault="001B5EE1">
      <w:pPr>
        <w:pStyle w:val="2"/>
        <w:numPr>
          <w:ilvl w:val="0"/>
          <w:numId w:val="1"/>
        </w:numPr>
        <w:spacing w:line="360" w:lineRule="auto"/>
        <w:ind w:leftChars="0" w:left="0" w:firstLineChars="0" w:firstLine="0"/>
        <w:rPr>
          <w:rFonts w:ascii="宋体" w:eastAsia="宋体" w:hAnsi="宋体" w:cs="宋体"/>
          <w:color w:val="auto"/>
          <w:szCs w:val="21"/>
        </w:rPr>
      </w:pPr>
      <w:r>
        <w:rPr>
          <w:rFonts w:ascii="宋体" w:eastAsia="宋体" w:hAnsi="宋体" w:cs="宋体" w:hint="eastAsia"/>
          <w:color w:val="auto"/>
          <w:szCs w:val="21"/>
        </w:rPr>
        <w:t>多学科会诊：</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访问渠道（客户端）：支持PC WEB、IOS APP、Android APP；</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MDT系统管理：添加管理员、删除管理员、管理员权限管理、角色定义、创建MDT组、删除MDT组、增加MDT组成员、删除MDT组成员、角色指派；</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病例信息管理/患者360：病人信息补充、院外病人病历录入（拍照上传）、院外检查报告录入（拍照上传）、院外检验报告录入（拍照上传）、院内检查报告查询（对接）、院内检验报告查询（对接）、院内病程记录查询（对接）、院内医嘱执行查询（对接）、院内病案查看查询（对接）、院内其他记录查询：病理信息（对接）等；</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会诊申请/审批：会诊申请编写提交、病例信息关联、审批消息提醒、会诊审批；</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MDT会议组织工具：会诊会议创建、会诊会议修改、会诊会议通知、会诊会议签到；</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MDT在线协作：支持图文消息、语音形式的交流、聊天记录管理及存档；</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诊疗决策：参与会诊的专家各自发表相关的会诊意见并输入系统存档，针对某个病例的会诊结论的编写和存档，需要支持模板化、半结构化的输入方式，以便后期的检索和统计；</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诊疗方案执行：反馈会诊病例在会诊后所采取的治疗方案与会诊专家建议的治疗方案之间的差异，反馈会诊病例在后续的会诊效果；</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MDT随访：针对病例制定随访计划，包括随访问卷和随访截止时间，随访可以进行多次，即某个随访完成后，可以根据需要制定进一步随访的计划；系统根据随访的截止时间自动提醒相关人员，提醒方式可以包括短信和APP通知；随访负责人，例如MDT秘书，根据随访计划向患者执行随访，填写相关的问卷并提交；</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MDT数据存档：针对患者基本信息数据的后台存储并检索；针对患者院外就诊资料的后台存储和检索；诊断意见的编辑、缓存、存储存档和检索/搜索等；诊断结论的编辑、缓存、存储存档和检索/搜索等；针对会诊会议出勤记录的存档和检索；</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模板管理：针对MDT患者的诊断结论的模板管理，主要体现在结构化字段的定义，也支持自定义功能；针对MDT患者的方案执行评估的模板管理，主要体现在结构化字段的定义，支持自定义功能；针对MDT患者的诊断、手术方案、化疗/放疗等治疗方案建议等的模板管理，支持自定义功能；根据病种或其他业务需要，支持随访管理人员可以进行随访模板的定制和存档管理；</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MDT病例综合搜索：根据患者姓名、身份证号、就诊号/住院号，MDT分类等对病例进行精确/模糊搜索；根据会诊状态、会诊类型、会诊组等进行病例高级筛选，以搜索或过滤指定的病例个体或统计样本空间；</w:t>
      </w:r>
    </w:p>
    <w:p w:rsidR="00B67491" w:rsidRDefault="001B5EE1">
      <w:pPr>
        <w:pStyle w:val="2"/>
        <w:numPr>
          <w:ilvl w:val="0"/>
          <w:numId w:val="2"/>
        </w:numPr>
        <w:spacing w:line="360" w:lineRule="auto"/>
        <w:ind w:leftChars="0" w:firstLineChars="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MDT工作量统计：按“时间+MDT分类+人员”等维度进行统计会诊开展的次数、会诊病例的个数、会诊参加出勤率；</w:t>
      </w:r>
    </w:p>
    <w:p w:rsidR="00B67491" w:rsidRDefault="001B5EE1">
      <w:pPr>
        <w:pStyle w:val="2"/>
        <w:numPr>
          <w:ilvl w:val="0"/>
          <w:numId w:val="1"/>
        </w:numPr>
        <w:spacing w:line="360" w:lineRule="auto"/>
        <w:ind w:leftChars="0" w:left="0" w:firstLineChars="0" w:firstLine="0"/>
        <w:rPr>
          <w:rFonts w:ascii="宋体" w:eastAsia="宋体" w:hAnsi="宋体" w:cs="宋体"/>
          <w:color w:val="auto"/>
          <w:szCs w:val="21"/>
        </w:rPr>
      </w:pPr>
      <w:r>
        <w:rPr>
          <w:rFonts w:ascii="宋体" w:eastAsia="宋体" w:hAnsi="宋体" w:cs="宋体" w:hint="eastAsia"/>
          <w:color w:val="auto"/>
          <w:szCs w:val="21"/>
        </w:rPr>
        <w:t>医联体远程协作：支持南通三院与医联体单位进行院间音视频会诊，支持双方通过PC/手机进行屏幕共享、病情讨论、病历书写、存档。</w:t>
      </w:r>
    </w:p>
    <w:p w:rsidR="00B67491" w:rsidRDefault="000A0B37">
      <w:pPr>
        <w:pStyle w:val="2"/>
        <w:spacing w:line="360" w:lineRule="auto"/>
        <w:ind w:leftChars="0" w:left="0" w:firstLineChars="0" w:firstLine="0"/>
        <w:rPr>
          <w:rFonts w:ascii="Calibri" w:eastAsia="宋体" w:hAnsi="Calibri"/>
          <w:b/>
          <w:bCs/>
          <w:color w:val="auto"/>
          <w:sz w:val="24"/>
          <w:szCs w:val="32"/>
        </w:rPr>
      </w:pPr>
      <w:r>
        <w:rPr>
          <w:rFonts w:ascii="Calibri" w:eastAsia="宋体" w:hAnsi="Calibri" w:hint="eastAsia"/>
          <w:b/>
          <w:bCs/>
          <w:color w:val="auto"/>
          <w:sz w:val="24"/>
          <w:szCs w:val="32"/>
        </w:rPr>
        <w:t>三</w:t>
      </w:r>
      <w:bookmarkStart w:id="0" w:name="_GoBack"/>
      <w:bookmarkEnd w:id="0"/>
      <w:r w:rsidR="001B5EE1">
        <w:rPr>
          <w:rFonts w:ascii="Calibri" w:eastAsia="宋体" w:hAnsi="Calibri" w:hint="eastAsia"/>
          <w:b/>
          <w:bCs/>
          <w:color w:val="auto"/>
          <w:sz w:val="24"/>
          <w:szCs w:val="32"/>
        </w:rPr>
        <w:t>、</w:t>
      </w:r>
      <w:r w:rsidR="002278A8">
        <w:rPr>
          <w:rFonts w:ascii="Calibri" w:eastAsia="宋体" w:hAnsi="Calibri" w:hint="eastAsia"/>
          <w:b/>
          <w:bCs/>
          <w:color w:val="auto"/>
          <w:sz w:val="24"/>
          <w:szCs w:val="32"/>
        </w:rPr>
        <w:t>预算</w:t>
      </w:r>
      <w:r w:rsidR="002278A8">
        <w:rPr>
          <w:rFonts w:ascii="Calibri" w:eastAsia="宋体" w:hAnsi="Calibri"/>
          <w:b/>
          <w:bCs/>
          <w:color w:val="auto"/>
          <w:sz w:val="24"/>
          <w:szCs w:val="32"/>
        </w:rPr>
        <w:t>及</w:t>
      </w:r>
      <w:r w:rsidR="001B5EE1">
        <w:rPr>
          <w:rFonts w:ascii="Calibri" w:eastAsia="宋体" w:hAnsi="Calibri" w:hint="eastAsia"/>
          <w:b/>
          <w:bCs/>
          <w:color w:val="auto"/>
          <w:sz w:val="24"/>
          <w:szCs w:val="32"/>
        </w:rPr>
        <w:t>报价</w:t>
      </w:r>
    </w:p>
    <w:p w:rsidR="002278A8" w:rsidRPr="002278A8" w:rsidRDefault="002278A8">
      <w:pPr>
        <w:pStyle w:val="2"/>
        <w:spacing w:line="360" w:lineRule="auto"/>
        <w:ind w:leftChars="0" w:left="0" w:firstLineChars="0" w:firstLine="0"/>
        <w:rPr>
          <w:rFonts w:ascii="Calibri" w:eastAsia="宋体" w:hAnsi="Calibri"/>
          <w:color w:val="auto"/>
          <w:szCs w:val="24"/>
        </w:rPr>
      </w:pPr>
      <w:r w:rsidRPr="002278A8">
        <w:rPr>
          <w:rFonts w:ascii="Calibri" w:eastAsia="宋体" w:hAnsi="Calibri" w:hint="eastAsia"/>
          <w:color w:val="auto"/>
          <w:szCs w:val="24"/>
        </w:rPr>
        <w:t>项目预算</w:t>
      </w:r>
      <w:r w:rsidRPr="002278A8">
        <w:rPr>
          <w:rFonts w:ascii="Calibri" w:eastAsia="宋体" w:hAnsi="Calibri"/>
          <w:color w:val="auto"/>
          <w:szCs w:val="24"/>
        </w:rPr>
        <w:t>：</w:t>
      </w:r>
      <w:r w:rsidRPr="002278A8">
        <w:rPr>
          <w:rFonts w:ascii="Calibri" w:eastAsia="宋体" w:hAnsi="Calibri" w:hint="eastAsia"/>
          <w:color w:val="auto"/>
          <w:szCs w:val="24"/>
        </w:rPr>
        <w:t>45</w:t>
      </w:r>
      <w:r w:rsidRPr="002278A8">
        <w:rPr>
          <w:rFonts w:ascii="Calibri" w:eastAsia="宋体" w:hAnsi="Calibri" w:hint="eastAsia"/>
          <w:color w:val="auto"/>
          <w:szCs w:val="24"/>
        </w:rPr>
        <w:t>万</w:t>
      </w:r>
    </w:p>
    <w:p w:rsidR="00B67491" w:rsidRDefault="001B5EE1">
      <w:pPr>
        <w:pStyle w:val="2"/>
        <w:spacing w:line="360" w:lineRule="auto"/>
        <w:ind w:leftChars="0" w:left="0" w:firstLineChars="0" w:firstLine="0"/>
        <w:rPr>
          <w:rFonts w:ascii="Calibri" w:eastAsia="宋体" w:hAnsi="Calibri"/>
          <w:color w:val="auto"/>
          <w:szCs w:val="24"/>
        </w:rPr>
      </w:pPr>
      <w:r>
        <w:rPr>
          <w:rFonts w:ascii="Calibri" w:eastAsia="宋体" w:hAnsi="Calibri" w:hint="eastAsia"/>
          <w:color w:val="auto"/>
          <w:szCs w:val="24"/>
        </w:rPr>
        <w:t>报价格式自拟（本次报价须包含与基础业务系统对接所需接口费用）。</w:t>
      </w:r>
    </w:p>
    <w:p w:rsidR="00B67491" w:rsidRDefault="00B67491"/>
    <w:sectPr w:rsidR="00B67491" w:rsidSect="0020405D">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F2" w:rsidRDefault="00BC49F2" w:rsidP="000A0B37">
      <w:r>
        <w:separator/>
      </w:r>
    </w:p>
  </w:endnote>
  <w:endnote w:type="continuationSeparator" w:id="0">
    <w:p w:rsidR="00BC49F2" w:rsidRDefault="00BC49F2" w:rsidP="000A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彩云">
    <w:altName w:val="微软雅黑"/>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F2" w:rsidRDefault="00BC49F2" w:rsidP="000A0B37">
      <w:r>
        <w:separator/>
      </w:r>
    </w:p>
  </w:footnote>
  <w:footnote w:type="continuationSeparator" w:id="0">
    <w:p w:rsidR="00BC49F2" w:rsidRDefault="00BC49F2" w:rsidP="000A0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F3D82"/>
    <w:multiLevelType w:val="singleLevel"/>
    <w:tmpl w:val="8D6F3D82"/>
    <w:lvl w:ilvl="0">
      <w:start w:val="1"/>
      <w:numFmt w:val="decimal"/>
      <w:lvlText w:val="%1."/>
      <w:lvlJc w:val="left"/>
      <w:pPr>
        <w:tabs>
          <w:tab w:val="left" w:pos="312"/>
        </w:tabs>
      </w:pPr>
    </w:lvl>
  </w:abstractNum>
  <w:abstractNum w:abstractNumId="1" w15:restartNumberingAfterBreak="0">
    <w:nsid w:val="EF6B44B3"/>
    <w:multiLevelType w:val="singleLevel"/>
    <w:tmpl w:val="EF6B44B3"/>
    <w:lvl w:ilvl="0">
      <w:start w:val="1"/>
      <w:numFmt w:val="decimal"/>
      <w:lvlText w:val="%1."/>
      <w:lvlJc w:val="left"/>
      <w:pPr>
        <w:tabs>
          <w:tab w:val="left" w:pos="312"/>
        </w:tabs>
      </w:pPr>
    </w:lvl>
  </w:abstractNum>
  <w:abstractNum w:abstractNumId="2" w15:restartNumberingAfterBreak="0">
    <w:nsid w:val="39BECC68"/>
    <w:multiLevelType w:val="singleLevel"/>
    <w:tmpl w:val="39BECC68"/>
    <w:lvl w:ilvl="0">
      <w:start w:val="1"/>
      <w:numFmt w:val="decimal"/>
      <w:lvlText w:val="%1."/>
      <w:lvlJc w:val="left"/>
      <w:pPr>
        <w:tabs>
          <w:tab w:val="left" w:pos="312"/>
        </w:tabs>
      </w:pPr>
    </w:lvl>
  </w:abstractNum>
  <w:abstractNum w:abstractNumId="3" w15:restartNumberingAfterBreak="0">
    <w:nsid w:val="69F40FDE"/>
    <w:multiLevelType w:val="multilevel"/>
    <w:tmpl w:val="69F40FDE"/>
    <w:lvl w:ilvl="0">
      <w:start w:val="1"/>
      <w:numFmt w:val="bullet"/>
      <w:lvlText w:val=""/>
      <w:lvlJc w:val="left"/>
      <w:pPr>
        <w:ind w:left="733" w:hanging="420"/>
      </w:pPr>
      <w:rPr>
        <w:rFonts w:ascii="Wingdings" w:hAnsi="Wingdings" w:hint="default"/>
      </w:rPr>
    </w:lvl>
    <w:lvl w:ilvl="1">
      <w:start w:val="1"/>
      <w:numFmt w:val="bullet"/>
      <w:lvlText w:val=""/>
      <w:lvlJc w:val="left"/>
      <w:pPr>
        <w:ind w:left="1153" w:hanging="420"/>
      </w:pPr>
      <w:rPr>
        <w:rFonts w:ascii="Wingdings" w:hAnsi="Wingdings" w:hint="default"/>
      </w:rPr>
    </w:lvl>
    <w:lvl w:ilvl="2">
      <w:start w:val="1"/>
      <w:numFmt w:val="bullet"/>
      <w:lvlText w:val=""/>
      <w:lvlJc w:val="left"/>
      <w:pPr>
        <w:ind w:left="1573" w:hanging="420"/>
      </w:pPr>
      <w:rPr>
        <w:rFonts w:ascii="Wingdings" w:hAnsi="Wingdings" w:hint="default"/>
      </w:rPr>
    </w:lvl>
    <w:lvl w:ilvl="3">
      <w:start w:val="1"/>
      <w:numFmt w:val="bullet"/>
      <w:lvlText w:val=""/>
      <w:lvlJc w:val="left"/>
      <w:pPr>
        <w:ind w:left="1993" w:hanging="420"/>
      </w:pPr>
      <w:rPr>
        <w:rFonts w:ascii="Wingdings" w:hAnsi="Wingdings" w:hint="default"/>
      </w:rPr>
    </w:lvl>
    <w:lvl w:ilvl="4">
      <w:start w:val="1"/>
      <w:numFmt w:val="bullet"/>
      <w:lvlText w:val=""/>
      <w:lvlJc w:val="left"/>
      <w:pPr>
        <w:ind w:left="2413" w:hanging="420"/>
      </w:pPr>
      <w:rPr>
        <w:rFonts w:ascii="Wingdings" w:hAnsi="Wingdings" w:hint="default"/>
      </w:rPr>
    </w:lvl>
    <w:lvl w:ilvl="5">
      <w:start w:val="1"/>
      <w:numFmt w:val="bullet"/>
      <w:lvlText w:val=""/>
      <w:lvlJc w:val="left"/>
      <w:pPr>
        <w:ind w:left="2833" w:hanging="420"/>
      </w:pPr>
      <w:rPr>
        <w:rFonts w:ascii="Wingdings" w:hAnsi="Wingdings" w:hint="default"/>
      </w:rPr>
    </w:lvl>
    <w:lvl w:ilvl="6">
      <w:start w:val="1"/>
      <w:numFmt w:val="bullet"/>
      <w:lvlText w:val=""/>
      <w:lvlJc w:val="left"/>
      <w:pPr>
        <w:ind w:left="3253" w:hanging="420"/>
      </w:pPr>
      <w:rPr>
        <w:rFonts w:ascii="Wingdings" w:hAnsi="Wingdings" w:hint="default"/>
      </w:rPr>
    </w:lvl>
    <w:lvl w:ilvl="7">
      <w:start w:val="1"/>
      <w:numFmt w:val="bullet"/>
      <w:lvlText w:val=""/>
      <w:lvlJc w:val="left"/>
      <w:pPr>
        <w:ind w:left="3673" w:hanging="420"/>
      </w:pPr>
      <w:rPr>
        <w:rFonts w:ascii="Wingdings" w:hAnsi="Wingdings" w:hint="default"/>
      </w:rPr>
    </w:lvl>
    <w:lvl w:ilvl="8">
      <w:start w:val="1"/>
      <w:numFmt w:val="bullet"/>
      <w:lvlText w:val=""/>
      <w:lvlJc w:val="left"/>
      <w:pPr>
        <w:ind w:left="4093"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OGY4ZWQzZmYxM2Y4ZDU3MzZlZjM5ZjJkNjdhODUifQ=="/>
  </w:docVars>
  <w:rsids>
    <w:rsidRoot w:val="00B67491"/>
    <w:rsid w:val="000A0B37"/>
    <w:rsid w:val="0014082B"/>
    <w:rsid w:val="001B5EE1"/>
    <w:rsid w:val="0020405D"/>
    <w:rsid w:val="002278A8"/>
    <w:rsid w:val="00744198"/>
    <w:rsid w:val="00B67491"/>
    <w:rsid w:val="00BC49F2"/>
    <w:rsid w:val="00C15816"/>
    <w:rsid w:val="123A77FE"/>
    <w:rsid w:val="343229B9"/>
    <w:rsid w:val="3E8E3B16"/>
    <w:rsid w:val="462959C1"/>
    <w:rsid w:val="5721428D"/>
    <w:rsid w:val="5FAB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AE554"/>
  <w15:docId w15:val="{9839311B-C268-4F53-B229-42BC57AE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eastAsia="宋体" w:hAnsi="Times New Roman" w:cs="Times New Roman"/>
      <w:sz w:val="21"/>
      <w:szCs w:val="22"/>
    </w:rPr>
  </w:style>
  <w:style w:type="paragraph" w:styleId="a4">
    <w:name w:val="Body Text"/>
    <w:basedOn w:val="a"/>
    <w:qFormat/>
    <w:pPr>
      <w:tabs>
        <w:tab w:val="left" w:pos="2020"/>
        <w:tab w:val="center" w:pos="4535"/>
      </w:tabs>
      <w:spacing w:line="500" w:lineRule="exact"/>
      <w:outlineLvl w:val="0"/>
    </w:pPr>
    <w:rPr>
      <w:rFonts w:ascii="华文彩云" w:eastAsia="华文彩云" w:hAnsi="宋体"/>
      <w:bCs/>
      <w:color w:val="000000"/>
      <w:sz w:val="28"/>
    </w:rPr>
  </w:style>
  <w:style w:type="paragraph" w:styleId="a5">
    <w:name w:val="Body Text Indent"/>
    <w:basedOn w:val="a"/>
    <w:qFormat/>
    <w:pPr>
      <w:ind w:firstLine="630"/>
    </w:pPr>
    <w:rPr>
      <w:rFonts w:ascii="楷体_GB2312" w:eastAsia="楷体_GB2312"/>
      <w:sz w:val="32"/>
      <w:szCs w:val="20"/>
    </w:rPr>
  </w:style>
  <w:style w:type="paragraph" w:styleId="a6">
    <w:name w:val="Body Text First Indent"/>
    <w:basedOn w:val="a4"/>
    <w:next w:val="2"/>
    <w:unhideWhenUsed/>
    <w:qFormat/>
    <w:pPr>
      <w:ind w:firstLine="420"/>
    </w:pPr>
  </w:style>
  <w:style w:type="paragraph" w:styleId="2">
    <w:name w:val="Body Text First Indent 2"/>
    <w:basedOn w:val="a5"/>
    <w:qFormat/>
    <w:pPr>
      <w:widowControl/>
      <w:spacing w:after="120"/>
      <w:ind w:leftChars="200" w:left="420" w:firstLineChars="200" w:firstLine="420"/>
    </w:pPr>
    <w:rPr>
      <w:rFonts w:ascii="仿宋_GB2312" w:eastAsia="仿宋_GB2312"/>
      <w:color w:val="FF6600"/>
      <w:sz w:val="21"/>
    </w:rPr>
  </w:style>
  <w:style w:type="paragraph" w:styleId="a7">
    <w:name w:val="header"/>
    <w:basedOn w:val="a"/>
    <w:link w:val="a8"/>
    <w:rsid w:val="000A0B3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0A0B37"/>
    <w:rPr>
      <w:rFonts w:ascii="Times New Roman" w:eastAsia="宋体" w:hAnsi="Times New Roman" w:cs="Times New Roman"/>
      <w:kern w:val="2"/>
      <w:sz w:val="18"/>
      <w:szCs w:val="18"/>
    </w:rPr>
  </w:style>
  <w:style w:type="paragraph" w:styleId="a9">
    <w:name w:val="footer"/>
    <w:basedOn w:val="a"/>
    <w:link w:val="aa"/>
    <w:rsid w:val="000A0B37"/>
    <w:pPr>
      <w:tabs>
        <w:tab w:val="center" w:pos="4153"/>
        <w:tab w:val="right" w:pos="8306"/>
      </w:tabs>
      <w:snapToGrid w:val="0"/>
      <w:jc w:val="left"/>
    </w:pPr>
    <w:rPr>
      <w:sz w:val="18"/>
      <w:szCs w:val="18"/>
    </w:rPr>
  </w:style>
  <w:style w:type="character" w:customStyle="1" w:styleId="aa">
    <w:name w:val="页脚 字符"/>
    <w:basedOn w:val="a1"/>
    <w:link w:val="a9"/>
    <w:rsid w:val="000A0B3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5D83D-8F74-4CF7-BF34-9EFBE5E9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XIAOLEI</dc:creator>
  <cp:lastModifiedBy>Administrator</cp:lastModifiedBy>
  <cp:revision>8</cp:revision>
  <dcterms:created xsi:type="dcterms:W3CDTF">2022-05-30T08:54:00Z</dcterms:created>
  <dcterms:modified xsi:type="dcterms:W3CDTF">2023-12-06T08:03:00Z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5AC73A842D5E4EB3AA4680C779BB97B9</vt:lpwstr>
  </property>
</Properties>
</file>